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02F32"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202F32">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202F32">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202F32">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202F32">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202F32">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202F32">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202F32">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202F32">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202F32">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202F32">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202F32">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202F32">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202F32">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202F32">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202F32">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202F32">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D49B377" w14:textId="77777777" w:rsidR="001F1242" w:rsidRDefault="001F1242" w:rsidP="001F1242">
      <w:pPr>
        <w:rPr>
          <w:rFonts w:ascii="Arial" w:hAnsi="Arial" w:cs="Arial"/>
          <w:sz w:val="20"/>
          <w:szCs w:val="20"/>
          <w:u w:val="single"/>
        </w:rPr>
      </w:pPr>
    </w:p>
    <w:p w14:paraId="7F142FBC" w14:textId="77777777" w:rsidR="001F1242" w:rsidRPr="00E7588A" w:rsidRDefault="001F1242" w:rsidP="001F1242">
      <w:pPr>
        <w:rPr>
          <w:rFonts w:ascii="Arial" w:hAnsi="Arial" w:cs="Arial"/>
          <w:sz w:val="20"/>
          <w:szCs w:val="20"/>
          <w:u w:val="single"/>
        </w:rPr>
      </w:pPr>
      <w:r>
        <w:rPr>
          <w:rFonts w:ascii="Arial" w:hAnsi="Arial" w:cs="Arial"/>
          <w:sz w:val="20"/>
          <w:szCs w:val="20"/>
          <w:u w:val="single"/>
        </w:rPr>
        <w:t>La prestación del Servicio de Agua Potable y alcantarillado, drenaje, tratamiento y disposición de las aguas residuales y tratadas.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CD89E9D" w14:textId="77777777" w:rsidR="001F1242" w:rsidRDefault="001F1242" w:rsidP="001F1242">
      <w:pPr>
        <w:pStyle w:val="NormalWeb"/>
        <w:shd w:val="clear" w:color="auto" w:fill="FFFFFF"/>
        <w:spacing w:before="0" w:beforeAutospacing="0" w:after="189" w:afterAutospacing="0" w:line="360" w:lineRule="auto"/>
        <w:jc w:val="both"/>
        <w:rPr>
          <w:rFonts w:ascii="Arial" w:eastAsia="Calibri" w:hAnsi="Arial" w:cs="Arial"/>
          <w:sz w:val="20"/>
          <w:szCs w:val="20"/>
          <w:u w:val="single"/>
          <w:lang w:eastAsia="en-US"/>
        </w:rPr>
      </w:pPr>
    </w:p>
    <w:p w14:paraId="3456D1C0" w14:textId="77777777" w:rsidR="001F1242" w:rsidRPr="001F1242" w:rsidRDefault="001F1242" w:rsidP="001F1242">
      <w:pPr>
        <w:pStyle w:val="NormalWeb"/>
        <w:shd w:val="clear" w:color="auto" w:fill="FFFFFF"/>
        <w:spacing w:before="0" w:beforeAutospacing="0" w:after="189" w:afterAutospacing="0" w:line="360" w:lineRule="auto"/>
        <w:jc w:val="both"/>
        <w:rPr>
          <w:rFonts w:ascii="Arial" w:eastAsia="Calibri" w:hAnsi="Arial" w:cs="Arial"/>
          <w:sz w:val="20"/>
          <w:szCs w:val="20"/>
          <w:u w:val="single"/>
          <w:lang w:eastAsia="en-US"/>
        </w:rPr>
      </w:pPr>
      <w:r w:rsidRPr="001F1242">
        <w:rPr>
          <w:rFonts w:ascii="Arial" w:eastAsia="Calibri" w:hAnsi="Arial" w:cs="Arial"/>
          <w:sz w:val="20"/>
          <w:szCs w:val="20"/>
          <w:u w:val="single"/>
          <w:lang w:eastAsia="en-US"/>
        </w:rPr>
        <w:t>El Banco Mundial mantuvo sin cambio su estimado de crecimiento para la economía mexicana en 2017 al prever una desaceleración a un ritmo de 1.8 por ciento desde el 2.3 por ciento que tuvo en 2016, principalmente por una contracción en la inversión, reflejo de la incertidumbre sobre la política económica de Estados Unidos. </w:t>
      </w:r>
      <w:r w:rsidRPr="001F1242">
        <w:rPr>
          <w:rFonts w:ascii="Arial" w:eastAsia="Calibri" w:hAnsi="Arial" w:cs="Arial"/>
          <w:sz w:val="20"/>
          <w:szCs w:val="20"/>
          <w:u w:val="single"/>
          <w:lang w:eastAsia="en-US"/>
        </w:rPr>
        <w:br/>
      </w:r>
      <w:r w:rsidRPr="001F1242">
        <w:rPr>
          <w:rFonts w:ascii="Arial" w:eastAsia="Calibri" w:hAnsi="Arial" w:cs="Arial"/>
          <w:sz w:val="20"/>
          <w:szCs w:val="20"/>
          <w:u w:val="single"/>
          <w:lang w:eastAsia="en-US"/>
        </w:rPr>
        <w:br/>
        <w:t>Para 2018 y 2019, lo bajó en 0.3 puntos a 2.2 y 2.5 por ciento, respectivamente. </w:t>
      </w:r>
      <w:r w:rsidRPr="001F1242">
        <w:rPr>
          <w:rFonts w:ascii="Arial" w:eastAsia="Calibri" w:hAnsi="Arial" w:cs="Arial"/>
          <w:sz w:val="20"/>
          <w:szCs w:val="20"/>
          <w:u w:val="single"/>
          <w:lang w:eastAsia="en-US"/>
        </w:rPr>
        <w:br/>
      </w:r>
      <w:r w:rsidRPr="001F1242">
        <w:rPr>
          <w:rFonts w:ascii="Arial" w:eastAsia="Calibri" w:hAnsi="Arial" w:cs="Arial"/>
          <w:sz w:val="20"/>
          <w:szCs w:val="20"/>
          <w:u w:val="single"/>
          <w:lang w:eastAsia="en-US"/>
        </w:rPr>
        <w:br/>
        <w:t>En su informe 'Perspectivas Económicas Globales' de este junio, señala que la nueva administración en Estados Unidos sugiere grandes cambios fiscales, comerciales y migratorios que podrían afectar la inversión y la toma de decisiones de las compañías, así como el capital y remesas dirigidos a mercados emergentes. Incluso sin cambios concretos, la incertidumbre podría afectar las perspectivas para la economía estadounidense y de sus principales socios comerciales, advierte el organismo.</w:t>
      </w:r>
      <w:r w:rsidRPr="001F1242">
        <w:rPr>
          <w:rFonts w:ascii="Arial" w:eastAsia="Calibri" w:hAnsi="Arial" w:cs="Arial"/>
          <w:sz w:val="20"/>
          <w:szCs w:val="20"/>
          <w:u w:val="single"/>
          <w:lang w:eastAsia="en-US"/>
        </w:rPr>
        <w:br/>
      </w:r>
      <w:r w:rsidRPr="001F1242">
        <w:rPr>
          <w:rFonts w:ascii="Arial" w:eastAsia="Calibri" w:hAnsi="Arial" w:cs="Arial"/>
          <w:sz w:val="20"/>
          <w:szCs w:val="20"/>
          <w:u w:val="single"/>
          <w:lang w:eastAsia="en-US"/>
        </w:rPr>
        <w:br/>
        <w:t>La previsión de crecimiento para Estados Unidos en el presente año se ajustó ligeramente a la baja respecto a lo pronosticado en enero, a 2.1 desde 2.2 por ciento pero en franca recuperación desde el 1.6 por ciento de 2016. Para el 2018, la mejoró en igual magnitud a 2.2 por ciento.</w:t>
      </w:r>
      <w:r w:rsidRPr="001F1242">
        <w:rPr>
          <w:rFonts w:ascii="Arial" w:eastAsia="Calibri" w:hAnsi="Arial" w:cs="Arial"/>
          <w:sz w:val="20"/>
          <w:szCs w:val="20"/>
          <w:u w:val="single"/>
          <w:lang w:eastAsia="en-US"/>
        </w:rPr>
        <w:br/>
      </w:r>
      <w:r w:rsidRPr="001F1242">
        <w:rPr>
          <w:rFonts w:ascii="Arial" w:eastAsia="Calibri" w:hAnsi="Arial" w:cs="Arial"/>
          <w:sz w:val="20"/>
          <w:szCs w:val="20"/>
          <w:u w:val="single"/>
          <w:lang w:eastAsia="en-US"/>
        </w:rPr>
        <w:br/>
        <w:t>El Banco Mundial estima que la Reserva Federal continúe endureciendo su política monetaria pero a un ritmo más gradual que en los anteriores ciclos, reflejando persistentes legados de la crisis financiera y tasas de interés menos equilibradas.</w:t>
      </w:r>
      <w:r w:rsidRPr="001F1242">
        <w:rPr>
          <w:rFonts w:ascii="Arial" w:eastAsia="Calibri" w:hAnsi="Arial" w:cs="Arial"/>
          <w:sz w:val="20"/>
          <w:szCs w:val="20"/>
          <w:u w:val="single"/>
          <w:lang w:eastAsia="en-US"/>
        </w:rPr>
        <w:br/>
      </w:r>
      <w:r w:rsidRPr="001F1242">
        <w:rPr>
          <w:rFonts w:ascii="Arial" w:eastAsia="Calibri" w:hAnsi="Arial" w:cs="Arial"/>
          <w:sz w:val="20"/>
          <w:szCs w:val="20"/>
          <w:u w:val="single"/>
          <w:lang w:eastAsia="en-US"/>
        </w:rPr>
        <w:br/>
        <w:t>El recorte a los impuestos y los programas de infraestructura conducirían a un crecimiento más fuerte de lo estimado en el corto plazo, pero también a un incremento más rápido de las tasas de interés.</w:t>
      </w:r>
      <w:r w:rsidRPr="001F1242">
        <w:rPr>
          <w:rFonts w:ascii="Arial" w:eastAsia="Calibri" w:hAnsi="Arial" w:cs="Arial"/>
          <w:sz w:val="20"/>
          <w:szCs w:val="20"/>
          <w:u w:val="single"/>
          <w:lang w:eastAsia="en-US"/>
        </w:rPr>
        <w:br/>
        <w:t>Si se produjeran cambios sustanciales en las políticas comerciales, desencadenarían medidas de represalia, lo que perjudicaría la actividad tanto en Estados Unidos como en sus socios comerciales.</w:t>
      </w:r>
      <w:r w:rsidRPr="001F1242">
        <w:rPr>
          <w:rFonts w:ascii="Arial" w:eastAsia="Calibri" w:hAnsi="Arial" w:cs="Arial"/>
          <w:sz w:val="20"/>
          <w:szCs w:val="20"/>
          <w:u w:val="single"/>
          <w:lang w:eastAsia="en-US"/>
        </w:rPr>
        <w:br/>
      </w:r>
      <w:r w:rsidRPr="001F1242">
        <w:rPr>
          <w:rFonts w:ascii="Arial" w:eastAsia="Calibri" w:hAnsi="Arial" w:cs="Arial"/>
          <w:sz w:val="20"/>
          <w:szCs w:val="20"/>
          <w:u w:val="single"/>
          <w:lang w:eastAsia="en-US"/>
        </w:rPr>
        <w:lastRenderedPageBreak/>
        <w:br/>
        <w:t>Las multinacionales estadounidenses están estrechamente interconectadas en las cadenas de suministro regionales y mundiales y representan una parte sustancial de las exportaciones, las ventas nacionales y el empleo en los Estados Unidos.</w:t>
      </w:r>
      <w:r w:rsidRPr="001F1242">
        <w:rPr>
          <w:rFonts w:ascii="Arial" w:eastAsia="Calibri" w:hAnsi="Arial" w:cs="Arial"/>
          <w:sz w:val="20"/>
          <w:szCs w:val="20"/>
          <w:u w:val="single"/>
          <w:lang w:eastAsia="en-US"/>
        </w:rPr>
        <w:br/>
      </w:r>
      <w:r w:rsidRPr="001F1242">
        <w:rPr>
          <w:rFonts w:ascii="Arial" w:eastAsia="Calibri" w:hAnsi="Arial" w:cs="Arial"/>
          <w:sz w:val="20"/>
          <w:szCs w:val="20"/>
          <w:u w:val="single"/>
          <w:lang w:eastAsia="en-US"/>
        </w:rPr>
        <w:br/>
        <w:t>El impacto sobre el comercio y la actividad por los ajustes fiscales en el llamado impuesto fronterizo dependería en gran medida de la reacción del tipo de cambio y de las incertidumbres políticas asociadas. </w:t>
      </w:r>
      <w:r w:rsidRPr="001F1242">
        <w:rPr>
          <w:rFonts w:ascii="Arial" w:eastAsia="Calibri" w:hAnsi="Arial" w:cs="Arial"/>
          <w:sz w:val="20"/>
          <w:szCs w:val="20"/>
          <w:u w:val="single"/>
          <w:lang w:eastAsia="en-US"/>
        </w:rPr>
        <w:br/>
      </w:r>
      <w:r w:rsidRPr="001F1242">
        <w:rPr>
          <w:rFonts w:ascii="Arial" w:eastAsia="Calibri" w:hAnsi="Arial" w:cs="Arial"/>
          <w:sz w:val="20"/>
          <w:szCs w:val="20"/>
          <w:u w:val="single"/>
          <w:lang w:eastAsia="en-US"/>
        </w:rPr>
        <w:br/>
        <w:t>Para Latinoamérica y el Caribe, el crecimiento estimado es de 0.8 por ciento para lo que resta de 2017, conforme Argentina y Brasil salen de la recesión. </w:t>
      </w:r>
      <w:r w:rsidRPr="001F1242">
        <w:rPr>
          <w:rFonts w:ascii="Arial" w:eastAsia="Calibri" w:hAnsi="Arial" w:cs="Arial"/>
          <w:sz w:val="20"/>
          <w:szCs w:val="20"/>
          <w:u w:val="single"/>
          <w:lang w:eastAsia="en-US"/>
        </w:rPr>
        <w:br/>
      </w:r>
      <w:r w:rsidRPr="001F1242">
        <w:rPr>
          <w:rFonts w:ascii="Arial" w:eastAsia="Calibri" w:hAnsi="Arial" w:cs="Arial"/>
          <w:sz w:val="20"/>
          <w:szCs w:val="20"/>
          <w:u w:val="single"/>
          <w:lang w:eastAsia="en-US"/>
        </w:rPr>
        <w:br/>
        <w:t>En el largo plazo, el crecimiento en la región se ve limitado por los cuellos de botella en la infraestructura, destacando el equilibrio con las necesidades de consolidación fiscal a corto plazo y el esperado crecimiento a largo plazo de los precios de las materias primas tras el último súper ciclo.</w:t>
      </w:r>
    </w:p>
    <w:p w14:paraId="01B977EA" w14:textId="77777777" w:rsidR="001F1242" w:rsidRDefault="00202F32" w:rsidP="001F1242">
      <w:pPr>
        <w:spacing w:line="360" w:lineRule="auto"/>
        <w:ind w:left="720"/>
        <w:jc w:val="both"/>
        <w:rPr>
          <w:rFonts w:ascii="Century Gothic" w:hAnsi="Century Gothic"/>
          <w:sz w:val="20"/>
          <w:szCs w:val="20"/>
        </w:rPr>
      </w:pPr>
      <w:hyperlink r:id="rId12" w:history="1">
        <w:r w:rsidR="001F1242" w:rsidRPr="00222F5D">
          <w:rPr>
            <w:rStyle w:val="Hipervnculo"/>
            <w:rFonts w:ascii="Century Gothic" w:hAnsi="Century Gothic"/>
            <w:sz w:val="20"/>
            <w:szCs w:val="20"/>
          </w:rPr>
          <w:t>http://www.elfinanciero.com.mx/economia/banco-mundial-reduce-crecimiento-de-mexico-para-2018-y-2019.html</w:t>
        </w:r>
      </w:hyperlink>
    </w:p>
    <w:p w14:paraId="210E409D" w14:textId="77777777" w:rsidR="001F1242" w:rsidRPr="001F1242" w:rsidRDefault="001F1242" w:rsidP="001F1242">
      <w:pPr>
        <w:spacing w:line="360" w:lineRule="auto"/>
        <w:jc w:val="both"/>
        <w:rPr>
          <w:rFonts w:ascii="Arial" w:hAnsi="Arial" w:cs="Arial"/>
          <w:sz w:val="20"/>
          <w:szCs w:val="20"/>
          <w:u w:val="single"/>
        </w:rPr>
      </w:pPr>
      <w:r w:rsidRPr="001F1242">
        <w:rPr>
          <w:rFonts w:ascii="Arial" w:hAnsi="Arial" w:cs="Arial"/>
          <w:sz w:val="20"/>
          <w:szCs w:val="20"/>
          <w:u w:val="single"/>
        </w:rPr>
        <w:t>Más sin embargo el Organismo Operador en el momento de la elaboración y proyección del presupuesto 2018 está ubicada en números negros y sin pasivos que no puedan solventarse de manera inmediata, por lo que actualmente no se cuenta con Deuda.</w:t>
      </w:r>
    </w:p>
    <w:p w14:paraId="14CB1D6F" w14:textId="77777777" w:rsidR="001F1242" w:rsidRPr="001F1242" w:rsidRDefault="001F1242" w:rsidP="001F1242">
      <w:pPr>
        <w:spacing w:line="360" w:lineRule="auto"/>
        <w:jc w:val="both"/>
        <w:rPr>
          <w:rFonts w:ascii="Arial" w:hAnsi="Arial" w:cs="Arial"/>
          <w:sz w:val="20"/>
          <w:szCs w:val="20"/>
          <w:u w:val="single"/>
        </w:rPr>
      </w:pPr>
      <w:r w:rsidRPr="001F1242">
        <w:rPr>
          <w:rFonts w:ascii="Arial" w:hAnsi="Arial" w:cs="Arial"/>
          <w:sz w:val="20"/>
          <w:szCs w:val="20"/>
          <w:u w:val="single"/>
        </w:rPr>
        <w:t>Se ha manifestado durante el histórico que los Ingresos han rebasado la expectativa del propio presupuesto de ingresos lo cual se ha manifestado en la Ejecución de la Ampliación de Obras en beneficio de la ciudadanía celayense.</w:t>
      </w:r>
    </w:p>
    <w:p w14:paraId="39C4769D" w14:textId="77777777" w:rsidR="001F1242" w:rsidRPr="001F1242" w:rsidRDefault="001F1242" w:rsidP="001F1242">
      <w:pPr>
        <w:autoSpaceDE w:val="0"/>
        <w:autoSpaceDN w:val="0"/>
        <w:adjustRightInd w:val="0"/>
        <w:spacing w:line="360" w:lineRule="auto"/>
        <w:jc w:val="both"/>
        <w:rPr>
          <w:rFonts w:ascii="Arial" w:hAnsi="Arial" w:cs="Arial"/>
          <w:sz w:val="20"/>
          <w:szCs w:val="20"/>
          <w:u w:val="single"/>
        </w:rPr>
      </w:pPr>
      <w:r w:rsidRPr="001F1242">
        <w:rPr>
          <w:rFonts w:ascii="Arial" w:hAnsi="Arial" w:cs="Arial"/>
          <w:sz w:val="20"/>
          <w:szCs w:val="20"/>
          <w:u w:val="single"/>
        </w:rPr>
        <w:t xml:space="preserve">La presente Proyección de Presupuesto de Egresos establece contribuciones ajustadas a la realidad económica del País con incrementos de un 5 % en la mayoría de los rubros Gastos considerando el índice inflacionario, así como en el Rubro de Servicios Personales se consideró incremento general del 4% a sueldo, algunas nivelaciones, 16 nuevas plazas. </w:t>
      </w:r>
    </w:p>
    <w:p w14:paraId="3285DC0B" w14:textId="77777777" w:rsidR="007D1E76" w:rsidRPr="001F1242" w:rsidRDefault="007D1E76" w:rsidP="00CB41C4">
      <w:pPr>
        <w:tabs>
          <w:tab w:val="left" w:leader="underscore" w:pos="9639"/>
        </w:tabs>
        <w:spacing w:after="0" w:line="240" w:lineRule="auto"/>
        <w:jc w:val="both"/>
        <w:rPr>
          <w:rFonts w:cs="Calibri"/>
          <w:lang w:val="es-ES"/>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20CB565" w14:textId="77777777" w:rsidR="001F1242" w:rsidRDefault="001F1242" w:rsidP="001F1242">
      <w:pPr>
        <w:rPr>
          <w:rFonts w:ascii="Arial" w:hAnsi="Arial" w:cs="Arial"/>
          <w:sz w:val="20"/>
          <w:szCs w:val="20"/>
          <w:u w:val="single"/>
        </w:rPr>
      </w:pPr>
    </w:p>
    <w:p w14:paraId="0FDFA6BF" w14:textId="77777777" w:rsidR="001F1242" w:rsidRPr="00E61462" w:rsidRDefault="001F1242" w:rsidP="001F1242">
      <w:pPr>
        <w:rPr>
          <w:rFonts w:ascii="Arial" w:hAnsi="Arial" w:cs="Arial"/>
          <w:sz w:val="20"/>
          <w:szCs w:val="20"/>
          <w:u w:val="single"/>
        </w:rPr>
      </w:pPr>
      <w:r>
        <w:rPr>
          <w:rFonts w:ascii="Arial" w:hAnsi="Arial" w:cs="Arial"/>
          <w:sz w:val="20"/>
          <w:szCs w:val="20"/>
          <w:u w:val="single"/>
        </w:rPr>
        <w:t>06 de Enero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0F10239" w14:textId="77777777" w:rsidR="00436C88" w:rsidRPr="00E74967" w:rsidRDefault="00436C88" w:rsidP="00CB41C4">
      <w:pPr>
        <w:tabs>
          <w:tab w:val="left" w:leader="underscore" w:pos="9639"/>
        </w:tabs>
        <w:spacing w:after="0" w:line="240" w:lineRule="auto"/>
        <w:jc w:val="both"/>
        <w:rPr>
          <w:rFonts w:cs="Calibri"/>
        </w:rPr>
      </w:pPr>
    </w:p>
    <w:tbl>
      <w:tblPr>
        <w:tblW w:w="9944"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348"/>
        <w:gridCol w:w="69"/>
        <w:gridCol w:w="1279"/>
        <w:gridCol w:w="139"/>
        <w:gridCol w:w="1417"/>
        <w:gridCol w:w="1418"/>
        <w:gridCol w:w="1458"/>
        <w:gridCol w:w="1468"/>
      </w:tblGrid>
      <w:tr w:rsidR="00436C88" w:rsidRPr="00E056CB" w14:paraId="2748BE86" w14:textId="77777777" w:rsidTr="00436C88">
        <w:trPr>
          <w:trHeight w:val="64"/>
        </w:trPr>
        <w:tc>
          <w:tcPr>
            <w:tcW w:w="1348" w:type="dxa"/>
          </w:tcPr>
          <w:p w14:paraId="2085C8DE" w14:textId="77777777" w:rsidR="00436C88" w:rsidRPr="00E056CB" w:rsidRDefault="00436C88" w:rsidP="00436C88">
            <w:pPr>
              <w:widowControl w:val="0"/>
              <w:autoSpaceDE w:val="0"/>
              <w:autoSpaceDN w:val="0"/>
              <w:adjustRightInd w:val="0"/>
              <w:contextualSpacing/>
              <w:jc w:val="center"/>
              <w:rPr>
                <w:rFonts w:ascii="Arial" w:hAnsi="Arial" w:cs="Arial"/>
                <w:b/>
                <w:sz w:val="16"/>
                <w:szCs w:val="10"/>
              </w:rPr>
            </w:pPr>
            <w:bookmarkStart w:id="4" w:name="_Toc508279624"/>
            <w:r w:rsidRPr="00E056CB">
              <w:rPr>
                <w:rFonts w:ascii="Arial" w:hAnsi="Arial" w:cs="Arial"/>
                <w:b/>
                <w:sz w:val="16"/>
                <w:szCs w:val="10"/>
              </w:rPr>
              <w:t>1988-1991</w:t>
            </w:r>
          </w:p>
        </w:tc>
        <w:tc>
          <w:tcPr>
            <w:tcW w:w="1417" w:type="dxa"/>
            <w:gridSpan w:val="2"/>
          </w:tcPr>
          <w:p w14:paraId="4777A96A"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1992-2002</w:t>
            </w:r>
          </w:p>
        </w:tc>
        <w:tc>
          <w:tcPr>
            <w:tcW w:w="1418" w:type="dxa"/>
            <w:gridSpan w:val="2"/>
          </w:tcPr>
          <w:p w14:paraId="54AB2D42"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2003</w:t>
            </w:r>
          </w:p>
        </w:tc>
        <w:tc>
          <w:tcPr>
            <w:tcW w:w="1417" w:type="dxa"/>
          </w:tcPr>
          <w:p w14:paraId="45F43071"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2004</w:t>
            </w:r>
          </w:p>
        </w:tc>
        <w:tc>
          <w:tcPr>
            <w:tcW w:w="1418" w:type="dxa"/>
          </w:tcPr>
          <w:p w14:paraId="43F3355E"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2005</w:t>
            </w:r>
          </w:p>
        </w:tc>
        <w:tc>
          <w:tcPr>
            <w:tcW w:w="1458" w:type="dxa"/>
          </w:tcPr>
          <w:p w14:paraId="64533A94"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2006</w:t>
            </w:r>
          </w:p>
        </w:tc>
        <w:tc>
          <w:tcPr>
            <w:tcW w:w="1468" w:type="dxa"/>
          </w:tcPr>
          <w:p w14:paraId="67FB1B07" w14:textId="77777777" w:rsidR="00436C88" w:rsidRPr="00E056CB" w:rsidRDefault="00436C88" w:rsidP="00436C88">
            <w:pPr>
              <w:widowControl w:val="0"/>
              <w:autoSpaceDE w:val="0"/>
              <w:autoSpaceDN w:val="0"/>
              <w:adjustRightInd w:val="0"/>
              <w:contextualSpacing/>
              <w:jc w:val="center"/>
              <w:rPr>
                <w:rFonts w:ascii="Arial" w:hAnsi="Arial" w:cs="Arial"/>
                <w:b/>
                <w:sz w:val="16"/>
                <w:szCs w:val="10"/>
              </w:rPr>
            </w:pPr>
            <w:r w:rsidRPr="00E056CB">
              <w:rPr>
                <w:rFonts w:ascii="Arial" w:hAnsi="Arial" w:cs="Arial"/>
                <w:b/>
                <w:sz w:val="16"/>
                <w:szCs w:val="10"/>
              </w:rPr>
              <w:t>2007</w:t>
            </w:r>
          </w:p>
        </w:tc>
      </w:tr>
      <w:tr w:rsidR="00436C88" w:rsidRPr="00E056CB" w14:paraId="254CB1EF" w14:textId="77777777" w:rsidTr="00436C88">
        <w:trPr>
          <w:trHeight w:val="259"/>
        </w:trPr>
        <w:tc>
          <w:tcPr>
            <w:tcW w:w="1348" w:type="dxa"/>
          </w:tcPr>
          <w:p w14:paraId="2CC1F27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780C77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 VOCAL EJECUTIVO</w:t>
            </w:r>
          </w:p>
          <w:p w14:paraId="12718F4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 DIRECTORES</w:t>
            </w:r>
          </w:p>
          <w:p w14:paraId="299174B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8 DEPARTAMENTOS </w:t>
            </w:r>
          </w:p>
        </w:tc>
        <w:tc>
          <w:tcPr>
            <w:tcW w:w="1417" w:type="dxa"/>
            <w:gridSpan w:val="2"/>
          </w:tcPr>
          <w:p w14:paraId="4C37BB5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1119F1A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4 DIRECTORES </w:t>
            </w:r>
          </w:p>
          <w:p w14:paraId="2B58B51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23 DEPARTAMENTOS </w:t>
            </w:r>
          </w:p>
          <w:p w14:paraId="05270A65" w14:textId="77777777" w:rsidR="00436C88" w:rsidRPr="00E056CB" w:rsidRDefault="00436C88" w:rsidP="00436C88">
            <w:pPr>
              <w:widowControl w:val="0"/>
              <w:autoSpaceDE w:val="0"/>
              <w:autoSpaceDN w:val="0"/>
              <w:adjustRightInd w:val="0"/>
              <w:ind w:left="720"/>
              <w:contextualSpacing/>
              <w:rPr>
                <w:rFonts w:ascii="Arial" w:hAnsi="Arial" w:cs="Arial"/>
                <w:sz w:val="10"/>
                <w:szCs w:val="10"/>
              </w:rPr>
            </w:pPr>
          </w:p>
        </w:tc>
        <w:tc>
          <w:tcPr>
            <w:tcW w:w="1418" w:type="dxa"/>
            <w:gridSpan w:val="2"/>
          </w:tcPr>
          <w:p w14:paraId="45C6878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C4A20C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4 DIRECTORES</w:t>
            </w:r>
          </w:p>
          <w:p w14:paraId="72D8713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8 GERENCIAS</w:t>
            </w:r>
          </w:p>
          <w:p w14:paraId="747C662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30 DEPARTAMENTOS </w:t>
            </w:r>
          </w:p>
        </w:tc>
        <w:tc>
          <w:tcPr>
            <w:tcW w:w="1417" w:type="dxa"/>
          </w:tcPr>
          <w:p w14:paraId="6367ED4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506105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74AE7E46"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652F300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30 DEPARTAMENTOS</w:t>
            </w:r>
          </w:p>
        </w:tc>
        <w:tc>
          <w:tcPr>
            <w:tcW w:w="1418" w:type="dxa"/>
          </w:tcPr>
          <w:p w14:paraId="5E51517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70AFC195"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21A2728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7010998E"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31 DEPARTAMENTOS</w:t>
            </w:r>
          </w:p>
        </w:tc>
        <w:tc>
          <w:tcPr>
            <w:tcW w:w="1458" w:type="dxa"/>
          </w:tcPr>
          <w:p w14:paraId="47DFC7BC"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EFE478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2C0B8D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5251268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32 DEPARTAMENTOS</w:t>
            </w:r>
          </w:p>
        </w:tc>
        <w:tc>
          <w:tcPr>
            <w:tcW w:w="1468" w:type="dxa"/>
          </w:tcPr>
          <w:p w14:paraId="0E3ECF1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1A9AC5D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3EA3F2C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32A5FFA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30 DEPARTAMENTOS</w:t>
            </w:r>
          </w:p>
        </w:tc>
      </w:tr>
      <w:tr w:rsidR="00436C88" w:rsidRPr="00E056CB" w14:paraId="11F770BC" w14:textId="77777777" w:rsidTr="00436C88">
        <w:trPr>
          <w:trHeight w:val="59"/>
        </w:trPr>
        <w:tc>
          <w:tcPr>
            <w:tcW w:w="1348" w:type="dxa"/>
          </w:tcPr>
          <w:p w14:paraId="0A52EDA0" w14:textId="77777777" w:rsidR="00436C88" w:rsidRPr="00E056CB" w:rsidRDefault="00436C88" w:rsidP="00436C88">
            <w:pPr>
              <w:widowControl w:val="0"/>
              <w:autoSpaceDE w:val="0"/>
              <w:autoSpaceDN w:val="0"/>
              <w:adjustRightInd w:val="0"/>
              <w:ind w:left="720"/>
              <w:contextualSpacing/>
              <w:rPr>
                <w:rFonts w:ascii="Arial" w:hAnsi="Arial" w:cs="Arial"/>
                <w:b/>
                <w:sz w:val="16"/>
                <w:szCs w:val="10"/>
              </w:rPr>
            </w:pPr>
            <w:r>
              <w:rPr>
                <w:rFonts w:ascii="Arial" w:hAnsi="Arial" w:cs="Arial"/>
                <w:b/>
                <w:sz w:val="16"/>
                <w:szCs w:val="10"/>
              </w:rPr>
              <w:t>2008</w:t>
            </w:r>
          </w:p>
        </w:tc>
        <w:tc>
          <w:tcPr>
            <w:tcW w:w="1417" w:type="dxa"/>
            <w:gridSpan w:val="2"/>
          </w:tcPr>
          <w:p w14:paraId="2A72D7C3"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2009</w:t>
            </w:r>
          </w:p>
        </w:tc>
        <w:tc>
          <w:tcPr>
            <w:tcW w:w="1418" w:type="dxa"/>
            <w:gridSpan w:val="2"/>
          </w:tcPr>
          <w:p w14:paraId="12CC1601"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2010</w:t>
            </w:r>
          </w:p>
        </w:tc>
        <w:tc>
          <w:tcPr>
            <w:tcW w:w="1417" w:type="dxa"/>
          </w:tcPr>
          <w:p w14:paraId="3A74E6C0"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2011</w:t>
            </w:r>
          </w:p>
        </w:tc>
        <w:tc>
          <w:tcPr>
            <w:tcW w:w="1418" w:type="dxa"/>
          </w:tcPr>
          <w:p w14:paraId="31C52B0B"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2012</w:t>
            </w:r>
          </w:p>
        </w:tc>
        <w:tc>
          <w:tcPr>
            <w:tcW w:w="1458" w:type="dxa"/>
          </w:tcPr>
          <w:p w14:paraId="74110FEC"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w:t>
            </w:r>
            <w:r>
              <w:rPr>
                <w:rFonts w:ascii="Arial" w:hAnsi="Arial" w:cs="Arial"/>
                <w:b/>
                <w:sz w:val="16"/>
                <w:szCs w:val="10"/>
              </w:rPr>
              <w:t>3</w:t>
            </w:r>
          </w:p>
        </w:tc>
        <w:tc>
          <w:tcPr>
            <w:tcW w:w="1468" w:type="dxa"/>
          </w:tcPr>
          <w:p w14:paraId="4D9CC326"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w:t>
            </w:r>
            <w:r>
              <w:rPr>
                <w:rFonts w:ascii="Arial" w:hAnsi="Arial" w:cs="Arial"/>
                <w:b/>
                <w:sz w:val="16"/>
                <w:szCs w:val="10"/>
              </w:rPr>
              <w:t>4 – 2015</w:t>
            </w:r>
          </w:p>
        </w:tc>
      </w:tr>
      <w:tr w:rsidR="00436C88" w:rsidRPr="00E056CB" w14:paraId="1375B6D6" w14:textId="77777777" w:rsidTr="00436C88">
        <w:trPr>
          <w:trHeight w:val="103"/>
        </w:trPr>
        <w:tc>
          <w:tcPr>
            <w:tcW w:w="1348" w:type="dxa"/>
          </w:tcPr>
          <w:p w14:paraId="5CAC8D4C"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2B594DE"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6B1CF6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513A63C6"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31 DEPARTAMENTOS</w:t>
            </w:r>
          </w:p>
        </w:tc>
        <w:tc>
          <w:tcPr>
            <w:tcW w:w="1417" w:type="dxa"/>
            <w:gridSpan w:val="2"/>
          </w:tcPr>
          <w:p w14:paraId="4812963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0C1AB745"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7F5975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23BD1864"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29 DEPARTAMENTOS</w:t>
            </w:r>
          </w:p>
        </w:tc>
        <w:tc>
          <w:tcPr>
            <w:tcW w:w="1418" w:type="dxa"/>
            <w:gridSpan w:val="2"/>
          </w:tcPr>
          <w:p w14:paraId="285D77F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4D0FF9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00E97C0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1846DE6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29 DEPARTAMENTOS</w:t>
            </w:r>
          </w:p>
        </w:tc>
        <w:tc>
          <w:tcPr>
            <w:tcW w:w="1417" w:type="dxa"/>
          </w:tcPr>
          <w:p w14:paraId="71CFA794"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465CD60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28AE8E9"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10 GERENCIAS</w:t>
            </w:r>
          </w:p>
          <w:p w14:paraId="561618D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25 DEPARTAMENTOS</w:t>
            </w:r>
          </w:p>
        </w:tc>
        <w:tc>
          <w:tcPr>
            <w:tcW w:w="1418" w:type="dxa"/>
          </w:tcPr>
          <w:p w14:paraId="28C40D6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0442263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8C00B7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10 GERENCIAS</w:t>
            </w:r>
          </w:p>
          <w:p w14:paraId="7A8533D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25 DEPARTAMENTOS</w:t>
            </w:r>
          </w:p>
        </w:tc>
        <w:tc>
          <w:tcPr>
            <w:tcW w:w="1458" w:type="dxa"/>
          </w:tcPr>
          <w:p w14:paraId="6321B35D"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1EEAD9EB"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Pr>
                <w:rFonts w:ascii="Arial" w:hAnsi="Arial" w:cs="Arial"/>
                <w:color w:val="000000"/>
                <w:sz w:val="10"/>
                <w:szCs w:val="10"/>
              </w:rPr>
              <w:t>8</w:t>
            </w:r>
            <w:r w:rsidRPr="00494586">
              <w:rPr>
                <w:rFonts w:ascii="Arial" w:hAnsi="Arial" w:cs="Arial"/>
                <w:color w:val="000000"/>
                <w:sz w:val="10"/>
                <w:szCs w:val="10"/>
              </w:rPr>
              <w:t xml:space="preserve">  DIRECTORES</w:t>
            </w:r>
          </w:p>
          <w:p w14:paraId="32B6CBC3"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11 GERENCIAS</w:t>
            </w:r>
          </w:p>
          <w:p w14:paraId="29B3C4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494586">
              <w:rPr>
                <w:rFonts w:ascii="Arial" w:hAnsi="Arial" w:cs="Arial"/>
                <w:color w:val="000000"/>
                <w:sz w:val="10"/>
                <w:szCs w:val="10"/>
              </w:rPr>
              <w:t>22 DEPARTAMENTOS</w:t>
            </w:r>
          </w:p>
        </w:tc>
        <w:tc>
          <w:tcPr>
            <w:tcW w:w="1468" w:type="dxa"/>
          </w:tcPr>
          <w:p w14:paraId="709727DE"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71E15313"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8 </w:t>
            </w:r>
            <w:r w:rsidRPr="00494586">
              <w:rPr>
                <w:rFonts w:ascii="Arial" w:hAnsi="Arial" w:cs="Arial"/>
                <w:color w:val="000000"/>
                <w:sz w:val="10"/>
                <w:szCs w:val="10"/>
              </w:rPr>
              <w:t xml:space="preserve"> DIRECTORES</w:t>
            </w:r>
          </w:p>
          <w:p w14:paraId="6C3D019A"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1</w:t>
            </w:r>
            <w:r w:rsidRPr="00494586">
              <w:rPr>
                <w:rFonts w:ascii="Arial" w:hAnsi="Arial" w:cs="Arial"/>
                <w:color w:val="000000"/>
                <w:sz w:val="10"/>
                <w:szCs w:val="10"/>
              </w:rPr>
              <w:t xml:space="preserve"> GERENCIAS</w:t>
            </w:r>
          </w:p>
          <w:p w14:paraId="7B735AF7" w14:textId="77777777" w:rsidR="00436C88" w:rsidRPr="00E056CB" w:rsidRDefault="00436C88"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23</w:t>
            </w:r>
            <w:r w:rsidRPr="00494586">
              <w:rPr>
                <w:rFonts w:ascii="Arial" w:hAnsi="Arial" w:cs="Arial"/>
                <w:color w:val="000000"/>
                <w:sz w:val="10"/>
                <w:szCs w:val="10"/>
              </w:rPr>
              <w:t xml:space="preserve"> DEPARTAMENTOS</w:t>
            </w:r>
          </w:p>
        </w:tc>
      </w:tr>
      <w:tr w:rsidR="00436C88" w:rsidRPr="00E056CB" w14:paraId="6B73AD97" w14:textId="3133FA8B" w:rsidTr="00436C88">
        <w:trPr>
          <w:gridAfter w:val="5"/>
          <w:wAfter w:w="5900" w:type="dxa"/>
          <w:trHeight w:val="59"/>
        </w:trPr>
        <w:tc>
          <w:tcPr>
            <w:tcW w:w="1348" w:type="dxa"/>
          </w:tcPr>
          <w:p w14:paraId="25F3E205"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Pr>
                <w:rFonts w:ascii="Arial" w:hAnsi="Arial" w:cs="Arial"/>
                <w:b/>
                <w:sz w:val="16"/>
                <w:szCs w:val="10"/>
              </w:rPr>
              <w:t>2016</w:t>
            </w:r>
          </w:p>
        </w:tc>
        <w:tc>
          <w:tcPr>
            <w:tcW w:w="1348" w:type="dxa"/>
          </w:tcPr>
          <w:p w14:paraId="1832AF16"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Pr>
                <w:rFonts w:ascii="Arial" w:hAnsi="Arial" w:cs="Arial"/>
                <w:b/>
                <w:sz w:val="16"/>
                <w:szCs w:val="10"/>
              </w:rPr>
              <w:t>2017</w:t>
            </w:r>
          </w:p>
        </w:tc>
        <w:tc>
          <w:tcPr>
            <w:tcW w:w="1348" w:type="dxa"/>
            <w:gridSpan w:val="2"/>
          </w:tcPr>
          <w:p w14:paraId="321F72B3" w14:textId="79631D17" w:rsidR="00436C88" w:rsidRPr="00E056CB" w:rsidRDefault="00436C88" w:rsidP="00436C88">
            <w:pPr>
              <w:spacing w:after="0" w:line="240" w:lineRule="auto"/>
              <w:jc w:val="right"/>
            </w:pPr>
            <w:r>
              <w:rPr>
                <w:rFonts w:ascii="Arial" w:hAnsi="Arial" w:cs="Arial"/>
                <w:b/>
                <w:sz w:val="16"/>
                <w:szCs w:val="10"/>
              </w:rPr>
              <w:t>2018</w:t>
            </w:r>
          </w:p>
        </w:tc>
      </w:tr>
      <w:tr w:rsidR="00436C88" w:rsidRPr="00E056CB" w14:paraId="567B3D71" w14:textId="7A6A864B" w:rsidTr="00436C88">
        <w:trPr>
          <w:gridAfter w:val="5"/>
          <w:wAfter w:w="5900" w:type="dxa"/>
          <w:trHeight w:val="710"/>
        </w:trPr>
        <w:tc>
          <w:tcPr>
            <w:tcW w:w="1348" w:type="dxa"/>
          </w:tcPr>
          <w:p w14:paraId="4FD76873"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15CEE184"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3CAE4159"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040DB63F" w14:textId="77777777" w:rsidR="00436C88" w:rsidRPr="00E056CB" w:rsidRDefault="00436C88"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19</w:t>
            </w:r>
            <w:r w:rsidRPr="00494586">
              <w:rPr>
                <w:rFonts w:ascii="Arial" w:hAnsi="Arial" w:cs="Arial"/>
                <w:color w:val="000000"/>
                <w:sz w:val="10"/>
                <w:szCs w:val="10"/>
              </w:rPr>
              <w:t xml:space="preserve"> DEPARTAMENTOS</w:t>
            </w:r>
          </w:p>
        </w:tc>
        <w:tc>
          <w:tcPr>
            <w:tcW w:w="1348" w:type="dxa"/>
          </w:tcPr>
          <w:p w14:paraId="1D154A3B"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54CD8DE0"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6CC8BF69"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6C6414B4" w14:textId="77777777" w:rsidR="00436C88" w:rsidRPr="00E056CB" w:rsidRDefault="00436C88"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19</w:t>
            </w:r>
            <w:r w:rsidRPr="00494586">
              <w:rPr>
                <w:rFonts w:ascii="Arial" w:hAnsi="Arial" w:cs="Arial"/>
                <w:color w:val="000000"/>
                <w:sz w:val="10"/>
                <w:szCs w:val="10"/>
              </w:rPr>
              <w:t xml:space="preserve"> DEPARTAMENTOS</w:t>
            </w:r>
          </w:p>
        </w:tc>
        <w:tc>
          <w:tcPr>
            <w:tcW w:w="1348" w:type="dxa"/>
            <w:gridSpan w:val="2"/>
          </w:tcPr>
          <w:p w14:paraId="481871B2"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6CCEA569"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4EAC8EA0"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7211DE25" w14:textId="77777777" w:rsidR="00436C88" w:rsidRDefault="005B664F">
            <w:pPr>
              <w:spacing w:after="0" w:line="240" w:lineRule="auto"/>
              <w:rPr>
                <w:rFonts w:ascii="Arial" w:hAnsi="Arial" w:cs="Arial"/>
                <w:color w:val="000000"/>
                <w:sz w:val="10"/>
                <w:szCs w:val="10"/>
              </w:rPr>
            </w:pPr>
            <w:r>
              <w:rPr>
                <w:rFonts w:ascii="Arial" w:hAnsi="Arial" w:cs="Arial"/>
                <w:color w:val="000000"/>
                <w:sz w:val="10"/>
                <w:szCs w:val="10"/>
              </w:rPr>
              <w:t>28</w:t>
            </w:r>
            <w:r w:rsidR="00436C88" w:rsidRPr="00494586">
              <w:rPr>
                <w:rFonts w:ascii="Arial" w:hAnsi="Arial" w:cs="Arial"/>
                <w:color w:val="000000"/>
                <w:sz w:val="10"/>
                <w:szCs w:val="10"/>
              </w:rPr>
              <w:t xml:space="preserve"> DEPARTAMENTOS</w:t>
            </w:r>
          </w:p>
          <w:p w14:paraId="63AEE873" w14:textId="32842BA7" w:rsidR="002E7EB3" w:rsidRPr="00E056CB" w:rsidRDefault="002E7EB3">
            <w:pPr>
              <w:spacing w:after="0" w:line="240" w:lineRule="auto"/>
            </w:pPr>
            <w:r>
              <w:rPr>
                <w:rFonts w:ascii="Arial" w:hAnsi="Arial" w:cs="Arial"/>
                <w:color w:val="000000"/>
                <w:sz w:val="10"/>
                <w:szCs w:val="10"/>
              </w:rPr>
              <w:t>1 CONTRALORIA INTERNA</w:t>
            </w:r>
          </w:p>
        </w:tc>
      </w:tr>
    </w:tbl>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BF58942" w14:textId="77777777" w:rsidR="00436C88" w:rsidRDefault="00436C88" w:rsidP="00436C88">
      <w:pPr>
        <w:jc w:val="both"/>
        <w:rPr>
          <w:rFonts w:ascii="Arial" w:eastAsia="Times New Roman" w:hAnsi="Arial" w:cs="Arial"/>
          <w:color w:val="000000"/>
          <w:sz w:val="20"/>
          <w:szCs w:val="20"/>
          <w:u w:val="single"/>
          <w:lang w:eastAsia="es-ES"/>
        </w:rPr>
      </w:pPr>
    </w:p>
    <w:p w14:paraId="00DD7C48" w14:textId="77777777" w:rsidR="00436C88" w:rsidRPr="00A36CC2" w:rsidRDefault="00436C88" w:rsidP="00436C88">
      <w:pPr>
        <w:jc w:val="both"/>
        <w:rPr>
          <w:rFonts w:ascii="Arial" w:hAnsi="Arial" w:cs="Arial"/>
          <w:sz w:val="20"/>
          <w:szCs w:val="20"/>
          <w:u w:val="single"/>
        </w:rPr>
      </w:pPr>
      <w:r w:rsidRPr="00A36CC2">
        <w:rPr>
          <w:rFonts w:ascii="Arial" w:eastAsia="Times New Roman" w:hAnsi="Arial" w:cs="Arial"/>
          <w:color w:val="000000"/>
          <w:sz w:val="20"/>
          <w:szCs w:val="20"/>
          <w:u w:val="single"/>
          <w:lang w:eastAsia="es-ES"/>
        </w:rPr>
        <w:t xml:space="preserve">Administrar y proporcionar los servicios de agua potable, alcantarillado, y tratamiento de aguas residuales, así como la promoción del reúso de dichas aguas, dentro de los límites territoriales que le haya determinado el Ayuntamiento Municipal, </w:t>
      </w:r>
      <w:r w:rsidRPr="00A36CC2">
        <w:rPr>
          <w:rFonts w:ascii="Arial" w:hAnsi="Arial" w:cs="Arial"/>
          <w:color w:val="000000"/>
          <w:sz w:val="20"/>
          <w:szCs w:val="20"/>
          <w:u w:val="single"/>
        </w:rPr>
        <w:t>Planear, estudiar, proyectar, construir, rehabilitar, ampliar, operar, mantener y conservar la infraestructura de agua potable, alcantarillado, tratamiento y reúso de aguas y lodos residuales, promover y ejecutar programas de uso eficiente del agua y difundir una cultura del agua en el Municipio; formular y mantener actualizado el padrón de usuarios de las zonas a su cargo.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F3FB6F7" w14:textId="77777777" w:rsidR="00436C88" w:rsidRDefault="00436C88" w:rsidP="00436C88">
      <w:pPr>
        <w:rPr>
          <w:rFonts w:ascii="Arial" w:hAnsi="Arial" w:cs="Arial"/>
          <w:sz w:val="20"/>
          <w:szCs w:val="20"/>
          <w:u w:val="single"/>
        </w:rPr>
      </w:pPr>
    </w:p>
    <w:p w14:paraId="72B83114" w14:textId="77777777" w:rsidR="00436C88" w:rsidRPr="00E7588A" w:rsidRDefault="00436C88" w:rsidP="00436C88">
      <w:pPr>
        <w:jc w:val="both"/>
        <w:rPr>
          <w:rFonts w:ascii="Arial" w:hAnsi="Arial" w:cs="Arial"/>
          <w:sz w:val="20"/>
          <w:szCs w:val="20"/>
          <w:u w:val="single"/>
        </w:rPr>
      </w:pPr>
      <w:r>
        <w:rPr>
          <w:rFonts w:ascii="Arial" w:hAnsi="Arial" w:cs="Arial"/>
          <w:sz w:val="20"/>
          <w:szCs w:val="20"/>
          <w:u w:val="single"/>
        </w:rPr>
        <w:t>La prestación del Servicio de Agua Potable y alcantarillado, drenaje, tratamiento y disposición de las aguas residuales y tratadas.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3E840FC0" w14:textId="77777777" w:rsidR="00436C88" w:rsidRDefault="00436C88" w:rsidP="00436C88">
      <w:pPr>
        <w:rPr>
          <w:rFonts w:ascii="Arial" w:hAnsi="Arial" w:cs="Arial"/>
          <w:sz w:val="20"/>
          <w:szCs w:val="20"/>
          <w:u w:val="single"/>
        </w:rPr>
      </w:pPr>
    </w:p>
    <w:p w14:paraId="3D77F879" w14:textId="6C7F5DF3" w:rsidR="00436C88" w:rsidRDefault="00436C88" w:rsidP="00436C88">
      <w:pPr>
        <w:rPr>
          <w:rFonts w:ascii="Arial" w:hAnsi="Arial" w:cs="Arial"/>
          <w:sz w:val="20"/>
          <w:szCs w:val="20"/>
          <w:u w:val="single"/>
        </w:rPr>
      </w:pPr>
      <w:r w:rsidRPr="00CF5D19">
        <w:rPr>
          <w:rFonts w:ascii="Arial" w:hAnsi="Arial" w:cs="Arial"/>
          <w:sz w:val="20"/>
          <w:szCs w:val="20"/>
          <w:u w:val="single"/>
        </w:rPr>
        <w:t>ENERO A DICIEMBRE 201</w:t>
      </w:r>
      <w:r>
        <w:rPr>
          <w:rFonts w:ascii="Arial" w:hAnsi="Arial" w:cs="Arial"/>
          <w:sz w:val="20"/>
          <w:szCs w:val="20"/>
          <w:u w:val="single"/>
        </w:rPr>
        <w:t>8</w:t>
      </w:r>
      <w:r w:rsidRPr="00CF5D19">
        <w:rPr>
          <w:rFonts w:ascii="Arial" w:hAnsi="Arial" w:cs="Arial"/>
          <w:sz w:val="20"/>
          <w:szCs w:val="20"/>
          <w:u w:val="single"/>
        </w:rPr>
        <w:t>.</w:t>
      </w:r>
      <w:r>
        <w:rPr>
          <w:rFonts w:ascii="Arial" w:hAnsi="Arial" w:cs="Arial"/>
          <w:sz w:val="20"/>
          <w:szCs w:val="20"/>
          <w:u w:val="single"/>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58B45C1" w14:textId="77777777" w:rsidR="00436C88" w:rsidRPr="00E74967" w:rsidRDefault="00436C88" w:rsidP="00CB41C4">
      <w:pPr>
        <w:tabs>
          <w:tab w:val="left" w:leader="underscore" w:pos="9639"/>
        </w:tabs>
        <w:spacing w:after="0" w:line="240" w:lineRule="auto"/>
        <w:jc w:val="both"/>
        <w:rPr>
          <w:rFonts w:cs="Calibri"/>
        </w:rPr>
      </w:pPr>
    </w:p>
    <w:p w14:paraId="67B4FE43" w14:textId="77777777" w:rsidR="00436C88" w:rsidRPr="000D7D75" w:rsidRDefault="00436C88" w:rsidP="00436C88">
      <w:pPr>
        <w:rPr>
          <w:rFonts w:ascii="Arial" w:hAnsi="Arial" w:cs="Arial"/>
          <w:sz w:val="20"/>
          <w:szCs w:val="20"/>
          <w:u w:val="single"/>
        </w:rPr>
      </w:pPr>
      <w:r w:rsidRPr="000D7D75">
        <w:rPr>
          <w:rFonts w:ascii="Arial" w:hAnsi="Arial" w:cs="Arial"/>
          <w:sz w:val="20"/>
          <w:szCs w:val="20"/>
          <w:u w:val="single"/>
        </w:rPr>
        <w:t>Personas Morales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1C6D8C1" w14:textId="77777777" w:rsidR="00436C88" w:rsidRDefault="00436C88" w:rsidP="00436C88">
      <w:pPr>
        <w:jc w:val="both"/>
        <w:rPr>
          <w:rFonts w:ascii="Arial" w:hAnsi="Arial" w:cs="Arial"/>
          <w:sz w:val="20"/>
          <w:szCs w:val="20"/>
          <w:u w:val="single"/>
        </w:rPr>
      </w:pPr>
      <w:r w:rsidRPr="00B55CCE">
        <w:rPr>
          <w:rFonts w:ascii="Arial" w:hAnsi="Arial" w:cs="Arial"/>
          <w:b/>
          <w:sz w:val="20"/>
          <w:szCs w:val="20"/>
          <w:u w:val="single"/>
        </w:rPr>
        <w:lastRenderedPageBreak/>
        <w:t>Pagar:</w:t>
      </w:r>
      <w:r>
        <w:rPr>
          <w:rFonts w:ascii="Arial" w:hAnsi="Arial" w:cs="Arial"/>
          <w:sz w:val="20"/>
          <w:szCs w:val="20"/>
          <w:u w:val="single"/>
        </w:rPr>
        <w:t xml:space="preserve"> Derechos por Extracción de Agua Potable, Derechos por Descarga de Aguas Residuales, 2% sobre </w:t>
      </w:r>
      <w:proofErr w:type="spellStart"/>
      <w:r>
        <w:rPr>
          <w:rFonts w:ascii="Arial" w:hAnsi="Arial" w:cs="Arial"/>
          <w:sz w:val="20"/>
          <w:szCs w:val="20"/>
          <w:u w:val="single"/>
        </w:rPr>
        <w:t>Nominas</w:t>
      </w:r>
      <w:proofErr w:type="spellEnd"/>
      <w:r>
        <w:rPr>
          <w:rFonts w:ascii="Arial" w:hAnsi="Arial" w:cs="Arial"/>
          <w:sz w:val="20"/>
          <w:szCs w:val="20"/>
          <w:u w:val="single"/>
        </w:rPr>
        <w:t xml:space="preserve">, IVA a Cargo </w:t>
      </w:r>
      <w:r w:rsidRPr="00B55CCE">
        <w:rPr>
          <w:rFonts w:ascii="Arial" w:hAnsi="Arial" w:cs="Arial"/>
          <w:b/>
          <w:sz w:val="20"/>
          <w:szCs w:val="20"/>
          <w:u w:val="single"/>
        </w:rPr>
        <w:t>Retener:</w:t>
      </w:r>
      <w:r w:rsidRPr="00B55CCE">
        <w:rPr>
          <w:rFonts w:ascii="Arial" w:hAnsi="Arial" w:cs="Arial"/>
          <w:sz w:val="20"/>
          <w:szCs w:val="20"/>
          <w:u w:val="single"/>
        </w:rPr>
        <w:t xml:space="preserve"> </w:t>
      </w:r>
      <w:r>
        <w:rPr>
          <w:rFonts w:ascii="Arial" w:hAnsi="Arial" w:cs="Arial"/>
          <w:sz w:val="20"/>
          <w:szCs w:val="20"/>
          <w:u w:val="single"/>
        </w:rPr>
        <w:t>I</w:t>
      </w:r>
      <w:r w:rsidRPr="00B55CCE">
        <w:rPr>
          <w:rFonts w:ascii="Arial" w:hAnsi="Arial" w:cs="Arial"/>
          <w:sz w:val="20"/>
          <w:szCs w:val="20"/>
          <w:u w:val="single"/>
        </w:rPr>
        <w:t>mpue</w:t>
      </w:r>
      <w:r>
        <w:rPr>
          <w:rFonts w:ascii="Arial" w:hAnsi="Arial" w:cs="Arial"/>
          <w:sz w:val="20"/>
          <w:szCs w:val="20"/>
          <w:u w:val="single"/>
        </w:rPr>
        <w:t>sto sobre la renta a empleados, Honorarios, A</w:t>
      </w:r>
      <w:r w:rsidRPr="00B55CCE">
        <w:rPr>
          <w:rFonts w:ascii="Arial" w:hAnsi="Arial" w:cs="Arial"/>
          <w:sz w:val="20"/>
          <w:szCs w:val="20"/>
          <w:u w:val="single"/>
        </w:rPr>
        <w:t>rrendamiento</w:t>
      </w:r>
      <w:r>
        <w:rPr>
          <w:rFonts w:ascii="Arial" w:hAnsi="Arial" w:cs="Arial"/>
          <w:sz w:val="20"/>
          <w:szCs w:val="20"/>
          <w:u w:val="single"/>
        </w:rPr>
        <w:t>, I</w:t>
      </w:r>
      <w:r w:rsidRPr="00B55CCE">
        <w:rPr>
          <w:rFonts w:ascii="Arial" w:hAnsi="Arial" w:cs="Arial"/>
          <w:sz w:val="20"/>
          <w:szCs w:val="20"/>
          <w:u w:val="single"/>
        </w:rPr>
        <w:t xml:space="preserve">mpuesto cedular, </w:t>
      </w:r>
      <w:r>
        <w:rPr>
          <w:rFonts w:ascii="Arial" w:hAnsi="Arial" w:cs="Arial"/>
          <w:sz w:val="20"/>
          <w:szCs w:val="20"/>
          <w:u w:val="single"/>
        </w:rPr>
        <w:t xml:space="preserve">ISR Extranjeros. </w:t>
      </w:r>
      <w:r w:rsidRPr="00B55CCE">
        <w:rPr>
          <w:rFonts w:ascii="Arial" w:hAnsi="Arial" w:cs="Arial"/>
          <w:b/>
          <w:sz w:val="20"/>
          <w:szCs w:val="20"/>
          <w:u w:val="single"/>
        </w:rPr>
        <w:t>Se entera</w:t>
      </w:r>
      <w:r>
        <w:rPr>
          <w:rFonts w:ascii="Arial" w:hAnsi="Arial" w:cs="Arial"/>
          <w:sz w:val="20"/>
          <w:szCs w:val="20"/>
          <w:u w:val="single"/>
        </w:rPr>
        <w:t xml:space="preserve"> el IVA a Favor para devoluciones.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0651B30C" w:rsidR="00CB41C4" w:rsidRDefault="002E7EB3"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31B3EC90" wp14:editId="0F13D150">
            <wp:extent cx="6143625" cy="4991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3625" cy="4991100"/>
                    </a:xfrm>
                    <a:prstGeom prst="rect">
                      <a:avLst/>
                    </a:prstGeom>
                    <a:noFill/>
                    <a:ln>
                      <a:noFill/>
                    </a:ln>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99AEA30" w14:textId="77777777" w:rsidR="008A41BD" w:rsidRDefault="008A41BD" w:rsidP="008A41BD">
      <w:pPr>
        <w:pStyle w:val="Textoindependiente"/>
        <w:ind w:left="540" w:hanging="540"/>
        <w:rPr>
          <w:rFonts w:ascii="Calibri" w:eastAsia="Calibri" w:hAnsi="Calibri" w:cs="Calibri"/>
          <w:color w:val="auto"/>
          <w:sz w:val="22"/>
          <w:szCs w:val="22"/>
          <w:lang w:val="es-MX" w:eastAsia="en-US"/>
        </w:rPr>
      </w:pPr>
    </w:p>
    <w:p w14:paraId="6E3EAD87" w14:textId="4E082183" w:rsidR="008A41BD" w:rsidRPr="008A41BD" w:rsidRDefault="008A41BD" w:rsidP="008A41BD">
      <w:pPr>
        <w:pStyle w:val="Textoindependiente"/>
        <w:ind w:left="540" w:hanging="540"/>
        <w:rPr>
          <w:rFonts w:asciiTheme="minorHAnsi" w:eastAsia="Calibri" w:hAnsiTheme="minorHAnsi" w:cstheme="minorHAnsi"/>
          <w:color w:val="auto"/>
          <w:u w:val="single"/>
          <w:lang w:val="es-MX" w:eastAsia="en-US"/>
        </w:rPr>
      </w:pPr>
      <w:r w:rsidRPr="008A41BD">
        <w:rPr>
          <w:rFonts w:asciiTheme="minorHAnsi" w:eastAsia="Calibri" w:hAnsiTheme="minorHAnsi" w:cstheme="minorHAnsi"/>
          <w:color w:val="auto"/>
          <w:u w:val="single"/>
          <w:lang w:val="es-MX" w:eastAsia="en-US"/>
        </w:rPr>
        <w:t xml:space="preserve">FIDEICOMISO No. 1902, denominado “Fondo de Inversión en </w:t>
      </w:r>
      <w:r>
        <w:rPr>
          <w:rFonts w:asciiTheme="minorHAnsi" w:eastAsia="Calibri" w:hAnsiTheme="minorHAnsi" w:cstheme="minorHAnsi"/>
          <w:color w:val="auto"/>
          <w:u w:val="single"/>
          <w:lang w:val="es-MX" w:eastAsia="en-US"/>
        </w:rPr>
        <w:t xml:space="preserve">Infraestructura”, mismo que fue </w:t>
      </w:r>
      <w:r w:rsidRPr="008A41BD">
        <w:rPr>
          <w:rFonts w:asciiTheme="minorHAnsi" w:eastAsia="Calibri" w:hAnsiTheme="minorHAnsi" w:cstheme="minorHAnsi"/>
          <w:color w:val="auto"/>
          <w:u w:val="single"/>
          <w:lang w:val="es-MX" w:eastAsia="en-US"/>
        </w:rPr>
        <w:t>autorizado</w:t>
      </w:r>
      <w:r>
        <w:rPr>
          <w:rFonts w:asciiTheme="minorHAnsi" w:eastAsia="Calibri" w:hAnsiTheme="minorHAnsi" w:cstheme="minorHAnsi"/>
          <w:color w:val="auto"/>
          <w:u w:val="single"/>
          <w:lang w:val="es-MX" w:eastAsia="en-US"/>
        </w:rPr>
        <w:t xml:space="preserve"> </w:t>
      </w:r>
      <w:r w:rsidRPr="008A41BD">
        <w:rPr>
          <w:rFonts w:asciiTheme="minorHAnsi" w:eastAsia="Calibri" w:hAnsiTheme="minorHAnsi" w:cstheme="minorHAnsi"/>
          <w:color w:val="auto"/>
          <w:u w:val="single"/>
          <w:lang w:val="es-MX" w:eastAsia="en-US"/>
        </w:rPr>
        <w:t xml:space="preserve">por el Comité Técnico de dicho FIDEICOMISO en el Acuerdo CT.-IV-9/DIC/2005-V.12 contenido en el Oficio número SDP/141000/030/2006 de fecha </w:t>
      </w:r>
      <w:smartTag w:uri="urn:schemas-microsoft-com:office:smarttags" w:element="date">
        <w:smartTagPr>
          <w:attr w:name="Year" w:val="2006"/>
          <w:attr w:name="Day" w:val="18"/>
          <w:attr w:name="Month" w:val="1"/>
          <w:attr w:name="ls" w:val="trans"/>
        </w:smartTagPr>
        <w:r w:rsidRPr="008A41BD">
          <w:rPr>
            <w:rFonts w:asciiTheme="minorHAnsi" w:eastAsia="Calibri" w:hAnsiTheme="minorHAnsi" w:cstheme="minorHAnsi"/>
            <w:color w:val="auto"/>
            <w:u w:val="single"/>
            <w:lang w:val="es-MX" w:eastAsia="en-US"/>
          </w:rPr>
          <w:t>18 de enero del 2006</w:t>
        </w:r>
      </w:smartTag>
      <w:r w:rsidRPr="008A41BD">
        <w:rPr>
          <w:rFonts w:asciiTheme="minorHAnsi" w:eastAsia="Calibri" w:hAnsiTheme="minorHAnsi" w:cstheme="minorHAnsi"/>
          <w:color w:val="auto"/>
          <w:u w:val="single"/>
          <w:lang w:val="es-MX" w:eastAsia="en-US"/>
        </w:rPr>
        <w:t>.</w:t>
      </w:r>
    </w:p>
    <w:p w14:paraId="28480F15" w14:textId="77777777" w:rsidR="00B864D4" w:rsidRPr="008A41BD" w:rsidRDefault="00B864D4" w:rsidP="008A41BD">
      <w:pPr>
        <w:tabs>
          <w:tab w:val="left" w:leader="underscore" w:pos="9639"/>
        </w:tabs>
        <w:spacing w:after="0" w:line="240" w:lineRule="auto"/>
        <w:jc w:val="both"/>
        <w:rPr>
          <w:rFonts w:asciiTheme="minorHAnsi" w:hAnsiTheme="minorHAnsi" w:cstheme="minorHAnsi"/>
          <w:sz w:val="24"/>
          <w:szCs w:val="24"/>
          <w:u w:val="single"/>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5DF2B08" w14:textId="77777777" w:rsidR="007359DA" w:rsidRDefault="007359DA" w:rsidP="007359DA">
      <w:pPr>
        <w:rPr>
          <w:rFonts w:ascii="Arial" w:hAnsi="Arial" w:cs="Arial"/>
          <w:sz w:val="20"/>
          <w:szCs w:val="20"/>
          <w:u w:val="single"/>
        </w:rPr>
      </w:pPr>
    </w:p>
    <w:p w14:paraId="1DAF4AFE" w14:textId="77777777" w:rsidR="007359DA" w:rsidRPr="000D7D75" w:rsidRDefault="007359DA" w:rsidP="007359DA">
      <w:pPr>
        <w:rPr>
          <w:rFonts w:ascii="Arial" w:hAnsi="Arial" w:cs="Arial"/>
          <w:sz w:val="20"/>
          <w:szCs w:val="20"/>
          <w:u w:val="single"/>
        </w:rPr>
      </w:pPr>
      <w:r w:rsidRPr="000D7D75">
        <w:rPr>
          <w:rFonts w:ascii="Arial" w:hAnsi="Arial" w:cs="Arial"/>
          <w:sz w:val="20"/>
          <w:szCs w:val="20"/>
          <w:u w:val="single"/>
        </w:rPr>
        <w:t>SI.</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BCCAB95" w14:textId="77777777" w:rsidR="007359DA" w:rsidRDefault="007359DA" w:rsidP="007359DA">
      <w:pPr>
        <w:rPr>
          <w:rFonts w:ascii="Arial" w:hAnsi="Arial" w:cs="Arial"/>
          <w:sz w:val="20"/>
          <w:szCs w:val="20"/>
          <w:u w:val="single"/>
        </w:rPr>
      </w:pPr>
    </w:p>
    <w:p w14:paraId="0146FFB6" w14:textId="77777777" w:rsidR="007359DA" w:rsidRPr="00771743" w:rsidRDefault="007359DA" w:rsidP="007359DA">
      <w:pPr>
        <w:jc w:val="both"/>
        <w:rPr>
          <w:rFonts w:ascii="Arial" w:hAnsi="Arial" w:cs="Arial"/>
          <w:sz w:val="20"/>
          <w:szCs w:val="20"/>
          <w:u w:val="single"/>
        </w:rPr>
      </w:pPr>
      <w:r w:rsidRPr="00771743">
        <w:rPr>
          <w:rFonts w:ascii="Arial" w:hAnsi="Arial" w:cs="Arial"/>
          <w:sz w:val="20"/>
          <w:szCs w:val="20"/>
          <w:u w:val="single"/>
        </w:rPr>
        <w:t>El método de valuación de inventarios utilizado en el Organismo es el UEPS, y que refleja un costo de los materiales más conservador en el entorno económico en el que nos desenvolvemos. La información se registra a costo histórico.</w:t>
      </w:r>
    </w:p>
    <w:p w14:paraId="1F9EE54B" w14:textId="75C0D20C"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1420ED0" w14:textId="77777777" w:rsidR="007359DA" w:rsidRPr="00E74967" w:rsidRDefault="007359DA" w:rsidP="00CB41C4">
      <w:pPr>
        <w:tabs>
          <w:tab w:val="left" w:leader="underscore" w:pos="9639"/>
        </w:tabs>
        <w:spacing w:after="0" w:line="240" w:lineRule="auto"/>
        <w:jc w:val="both"/>
        <w:rPr>
          <w:rFonts w:cs="Calibri"/>
        </w:rPr>
      </w:pPr>
    </w:p>
    <w:p w14:paraId="0222EF46" w14:textId="77777777" w:rsidR="007359DA" w:rsidRPr="00771743" w:rsidRDefault="007359DA" w:rsidP="007359DA">
      <w:pPr>
        <w:jc w:val="both"/>
        <w:rPr>
          <w:rFonts w:ascii="Arial" w:hAnsi="Arial" w:cs="Arial"/>
          <w:sz w:val="20"/>
          <w:szCs w:val="20"/>
          <w:u w:val="single"/>
        </w:rPr>
      </w:pPr>
      <w:r w:rsidRPr="00771743">
        <w:rPr>
          <w:rFonts w:ascii="Arial" w:hAnsi="Arial" w:cs="Arial"/>
          <w:sz w:val="20"/>
          <w:szCs w:val="20"/>
          <w:u w:val="single"/>
        </w:rPr>
        <w:t>En la presentación de la información financiera y contable del Organismo se ha cuidado dar cumplimiento a lo establecido en los Postulados de conformidad con lo dispuesto en la Ley General de Contabilidad Gubernamental: Sustancia Económica, Entes Públicos, Existencia Permanente, Revelación Suficiente, Importancia Relativa, Registro e Integración Presupuestaria, Consolidación de la Información Financiera, Devengo Contable, Valuación, Dualidad Económica y Consistencia</w:t>
      </w:r>
      <w:r>
        <w:rPr>
          <w:rFonts w:ascii="Arial" w:hAnsi="Arial" w:cs="Arial"/>
          <w:sz w:val="20"/>
          <w:szCs w:val="20"/>
          <w:u w:val="single"/>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28176F7" w14:textId="11C222EE"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C39C24F" w14:textId="571215B8"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somos Entidades que lo estemos implementando por primera vez.</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D9FA111" w14:textId="77777777" w:rsid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somos Entidades que lo estemos implementando por primera vez.</w:t>
      </w:r>
    </w:p>
    <w:p w14:paraId="4FF300B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86E2EEA"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lastRenderedPageBreak/>
        <w:t>“Esta nota no le aplica al ente público”</w:t>
      </w:r>
      <w:r>
        <w:rPr>
          <w:rFonts w:asciiTheme="minorHAnsi" w:hAnsiTheme="minorHAnsi" w:cstheme="minorHAnsi"/>
          <w:sz w:val="24"/>
          <w:szCs w:val="24"/>
          <w:u w:val="single"/>
        </w:rPr>
        <w:t xml:space="preserve"> no somos Entidades que lo estemos implementando por primera vez.</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D9EDAFA"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2436716"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D68EA9"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C1D647B" w14:textId="2F64414C" w:rsidR="007D1E76" w:rsidRPr="00E74967" w:rsidRDefault="007D1E76" w:rsidP="00CB41C4">
      <w:pPr>
        <w:tabs>
          <w:tab w:val="left" w:leader="underscore" w:pos="9639"/>
        </w:tabs>
        <w:spacing w:after="0" w:line="240" w:lineRule="auto"/>
        <w:jc w:val="both"/>
        <w:rPr>
          <w:rFonts w:cs="Calibri"/>
        </w:rPr>
      </w:pP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B48585B" w14:textId="77777777" w:rsidR="00CB49A2" w:rsidRPr="008F0698" w:rsidRDefault="00CB49A2" w:rsidP="00CB49A2">
      <w:pPr>
        <w:rPr>
          <w:rFonts w:ascii="Arial" w:hAnsi="Arial" w:cs="Arial"/>
          <w:sz w:val="20"/>
          <w:szCs w:val="20"/>
          <w:u w:val="single"/>
        </w:rPr>
      </w:pPr>
      <w:r>
        <w:rPr>
          <w:rFonts w:ascii="Arial" w:hAnsi="Arial" w:cs="Arial"/>
          <w:sz w:val="20"/>
          <w:szCs w:val="20"/>
          <w:u w:val="single"/>
        </w:rPr>
        <w:t xml:space="preserve">Sistema UEPS-Ultimas </w:t>
      </w:r>
      <w:r w:rsidRPr="008F0698">
        <w:rPr>
          <w:rFonts w:ascii="Arial" w:hAnsi="Arial" w:cs="Arial"/>
          <w:sz w:val="20"/>
          <w:szCs w:val="20"/>
          <w:u w:val="single"/>
        </w:rPr>
        <w:t>Entradas primeras salidas.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82BB0CD"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F2A8649" w14:textId="77777777" w:rsidR="007653AB" w:rsidRDefault="007653AB" w:rsidP="00CB41C4">
      <w:pPr>
        <w:tabs>
          <w:tab w:val="left" w:leader="underscore" w:pos="9639"/>
        </w:tabs>
        <w:spacing w:after="0" w:line="240" w:lineRule="auto"/>
        <w:jc w:val="both"/>
        <w:rPr>
          <w:rFonts w:cs="Calibri"/>
          <w:b/>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B93BCE3" w14:textId="4B8474DE" w:rsidR="00CB49A2" w:rsidRPr="00726A21" w:rsidRDefault="00CB49A2" w:rsidP="00CB49A2">
      <w:pPr>
        <w:rPr>
          <w:rFonts w:ascii="Arial" w:hAnsi="Arial" w:cs="Arial"/>
          <w:sz w:val="20"/>
          <w:szCs w:val="20"/>
          <w:u w:val="single"/>
        </w:rPr>
      </w:pPr>
      <w:r w:rsidRPr="00E5617B">
        <w:rPr>
          <w:rFonts w:ascii="Arial" w:hAnsi="Arial" w:cs="Arial"/>
          <w:sz w:val="20"/>
          <w:szCs w:val="20"/>
          <w:u w:val="single"/>
        </w:rPr>
        <w:t xml:space="preserve">Provisiones de Ejercicios Anteriores (Obra por ejecutar </w:t>
      </w:r>
      <w:r w:rsidRPr="00590483">
        <w:rPr>
          <w:rFonts w:ascii="Arial" w:hAnsi="Arial" w:cs="Arial"/>
          <w:sz w:val="20"/>
          <w:szCs w:val="20"/>
          <w:u w:val="single"/>
        </w:rPr>
        <w:t>$</w:t>
      </w:r>
      <w:r w:rsidR="006E0A86" w:rsidRPr="006E0A86">
        <w:rPr>
          <w:rFonts w:ascii="Arial" w:hAnsi="Arial" w:cs="Arial"/>
          <w:sz w:val="20"/>
          <w:szCs w:val="20"/>
          <w:u w:val="single"/>
        </w:rPr>
        <w:t>108</w:t>
      </w:r>
      <w:r w:rsidR="006E0A86">
        <w:rPr>
          <w:rFonts w:ascii="Arial" w:hAnsi="Arial" w:cs="Arial"/>
          <w:sz w:val="20"/>
          <w:szCs w:val="20"/>
          <w:u w:val="single"/>
        </w:rPr>
        <w:t>,</w:t>
      </w:r>
      <w:r w:rsidR="006E0A86" w:rsidRPr="006E0A86">
        <w:rPr>
          <w:rFonts w:ascii="Arial" w:hAnsi="Arial" w:cs="Arial"/>
          <w:sz w:val="20"/>
          <w:szCs w:val="20"/>
          <w:u w:val="single"/>
        </w:rPr>
        <w:t>721</w:t>
      </w:r>
      <w:r w:rsidR="006E0A86">
        <w:rPr>
          <w:rFonts w:ascii="Arial" w:hAnsi="Arial" w:cs="Arial"/>
          <w:sz w:val="20"/>
          <w:szCs w:val="20"/>
          <w:u w:val="single"/>
        </w:rPr>
        <w:t>,</w:t>
      </w:r>
      <w:r w:rsidR="006E0A86" w:rsidRPr="006E0A86">
        <w:rPr>
          <w:rFonts w:ascii="Arial" w:hAnsi="Arial" w:cs="Arial"/>
          <w:sz w:val="20"/>
          <w:szCs w:val="20"/>
          <w:u w:val="single"/>
        </w:rPr>
        <w:t>305.01</w:t>
      </w:r>
      <w:r w:rsidRPr="00A16E6B">
        <w:rPr>
          <w:rFonts w:ascii="Arial" w:hAnsi="Arial" w:cs="Arial"/>
          <w:sz w:val="20"/>
          <w:szCs w:val="2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D6E61E1"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4C613419" w14:textId="733BA8EF" w:rsidR="007D1E76" w:rsidRPr="00E74967" w:rsidRDefault="007D1E76" w:rsidP="00CB41C4">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EADD9E4"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23E8D7D5" w:rsidR="007D1E76" w:rsidRDefault="00663833" w:rsidP="00CB41C4">
      <w:pPr>
        <w:tabs>
          <w:tab w:val="left" w:leader="underscore" w:pos="9639"/>
        </w:tabs>
        <w:spacing w:after="0" w:line="240" w:lineRule="auto"/>
        <w:jc w:val="both"/>
        <w:rPr>
          <w:rFonts w:ascii="Arial" w:hAnsi="Arial" w:cs="Arial"/>
          <w:sz w:val="20"/>
          <w:szCs w:val="20"/>
          <w:u w:val="single"/>
        </w:rPr>
      </w:pPr>
      <w:r w:rsidRPr="008F0698">
        <w:rPr>
          <w:rFonts w:ascii="Arial" w:hAnsi="Arial" w:cs="Arial"/>
          <w:sz w:val="20"/>
          <w:szCs w:val="20"/>
          <w:u w:val="single"/>
        </w:rPr>
        <w:t>Existen movimientos generados por reacomodo de cuentas</w:t>
      </w:r>
      <w:r>
        <w:rPr>
          <w:rFonts w:ascii="Arial" w:hAnsi="Arial" w:cs="Arial"/>
          <w:sz w:val="20"/>
          <w:szCs w:val="20"/>
          <w:u w:val="single"/>
        </w:rPr>
        <w:t>.</w:t>
      </w:r>
    </w:p>
    <w:p w14:paraId="4FE915C0" w14:textId="77777777" w:rsidR="00663833" w:rsidRPr="00E74967" w:rsidRDefault="00663833"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F574CD9" w14:textId="77777777" w:rsidR="00663833" w:rsidRPr="008F0698" w:rsidRDefault="00663833" w:rsidP="00663833">
      <w:pPr>
        <w:rPr>
          <w:rFonts w:ascii="Arial" w:hAnsi="Arial" w:cs="Arial"/>
          <w:sz w:val="20"/>
          <w:szCs w:val="20"/>
          <w:u w:val="single"/>
        </w:rPr>
      </w:pPr>
      <w:r w:rsidRPr="008F0698">
        <w:rPr>
          <w:rFonts w:ascii="Arial" w:hAnsi="Arial" w:cs="Arial"/>
          <w:sz w:val="20"/>
          <w:szCs w:val="20"/>
          <w:u w:val="single"/>
        </w:rPr>
        <w:t xml:space="preserve">Cancelación de servicios no ejecutados, </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E8CE1E8"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DC3789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2EC0EC7" w14:textId="19E560F3"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EF5331C"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08FDC85" w14:textId="77777777" w:rsidR="00663833" w:rsidRDefault="00663833" w:rsidP="00CB41C4">
      <w:pPr>
        <w:tabs>
          <w:tab w:val="left" w:leader="underscore" w:pos="9639"/>
        </w:tabs>
        <w:spacing w:after="0" w:line="240" w:lineRule="auto"/>
        <w:jc w:val="both"/>
        <w:rPr>
          <w:rFonts w:cs="Calibri"/>
          <w:b/>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2FB68A52"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11B6E8C" w14:textId="3A0BA82B"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8E53AC4"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87D1B23" w14:textId="77777777" w:rsidR="007653AB" w:rsidRPr="008F0698" w:rsidRDefault="007653AB" w:rsidP="007653AB">
      <w:pPr>
        <w:rPr>
          <w:rFonts w:ascii="Arial" w:hAnsi="Arial" w:cs="Arial"/>
          <w:sz w:val="20"/>
          <w:szCs w:val="20"/>
          <w:u w:val="single"/>
        </w:rPr>
      </w:pPr>
      <w:r w:rsidRPr="008F0698">
        <w:rPr>
          <w:rFonts w:ascii="Arial" w:hAnsi="Arial" w:cs="Arial"/>
          <w:sz w:val="20"/>
          <w:szCs w:val="20"/>
          <w:u w:val="single"/>
        </w:rPr>
        <w:t>Mobiliario y equipo de Oficina, Herramientas-10%, Vehículos, camiones, remolques-25%, Equipo de Cómputo – 30%</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E0BF1A2"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B41C1A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4ADCEA6" w14:textId="77777777" w:rsidR="007653AB" w:rsidRDefault="007653AB" w:rsidP="00CB41C4">
      <w:pPr>
        <w:tabs>
          <w:tab w:val="left" w:leader="underscore" w:pos="9639"/>
        </w:tabs>
        <w:spacing w:after="0" w:line="240" w:lineRule="auto"/>
        <w:jc w:val="both"/>
        <w:rPr>
          <w:rFonts w:cs="Calibri"/>
          <w:b/>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E9CA7E2" w14:textId="258E2491" w:rsidR="007653AB" w:rsidRPr="008F0698" w:rsidRDefault="007653AB" w:rsidP="007653AB">
      <w:pPr>
        <w:rPr>
          <w:rFonts w:ascii="Arial" w:hAnsi="Arial" w:cs="Arial"/>
          <w:sz w:val="20"/>
          <w:szCs w:val="20"/>
          <w:u w:val="single"/>
        </w:rPr>
      </w:pPr>
      <w:r w:rsidRPr="008F0698">
        <w:rPr>
          <w:rFonts w:ascii="Arial" w:hAnsi="Arial" w:cs="Arial"/>
          <w:sz w:val="20"/>
          <w:szCs w:val="20"/>
          <w:u w:val="single"/>
        </w:rPr>
        <w:t>Los intereses es</w:t>
      </w:r>
      <w:r>
        <w:rPr>
          <w:rFonts w:ascii="Arial" w:hAnsi="Arial" w:cs="Arial"/>
          <w:sz w:val="20"/>
          <w:szCs w:val="20"/>
          <w:u w:val="single"/>
        </w:rPr>
        <w:t>tán estables en un promedio de 6</w:t>
      </w:r>
      <w:r w:rsidRPr="008F0698">
        <w:rPr>
          <w:rFonts w:ascii="Arial" w:hAnsi="Arial" w:cs="Arial"/>
          <w:sz w:val="20"/>
          <w:szCs w:val="20"/>
          <w:u w:val="single"/>
        </w:rPr>
        <w:t>% Anual.</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337709"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C25097D"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F0D27E9"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5D20F94" w14:textId="73E9E543"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3D56C9B" w14:textId="77777777" w:rsidR="002E7EB3" w:rsidRPr="006D67B0" w:rsidRDefault="002E7EB3" w:rsidP="002E7EB3">
      <w:pPr>
        <w:pStyle w:val="Prrafodelista"/>
        <w:ind w:left="0"/>
        <w:jc w:val="both"/>
        <w:rPr>
          <w:rFonts w:ascii="Arial" w:hAnsi="Arial" w:cs="Arial"/>
          <w:sz w:val="20"/>
          <w:szCs w:val="20"/>
          <w:u w:val="single"/>
        </w:rPr>
      </w:pPr>
      <w:r w:rsidRPr="006D67B0">
        <w:rPr>
          <w:rFonts w:ascii="Arial" w:hAnsi="Arial" w:cs="Arial"/>
          <w:sz w:val="20"/>
          <w:szCs w:val="20"/>
          <w:u w:val="single"/>
        </w:rPr>
        <w:t>Lineamientos y Políticas para el uso, mantenimiento y control de los vehículos oficiales, Procedimiento para la recepción, entrega preservación y conservación de materiales en almacén, Procedimiento de infraestructura de oficios, radios y vehículos, Procedimiento de Administración de activos fijos, Procedimiento de inventarios físicos de activo fijo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58A07C0E" w14:textId="77777777" w:rsidR="0083728C" w:rsidRDefault="007D1E76" w:rsidP="0083728C">
      <w:pPr>
        <w:pStyle w:val="Prrafodelista"/>
        <w:numPr>
          <w:ilvl w:val="0"/>
          <w:numId w:val="2"/>
        </w:numPr>
        <w:tabs>
          <w:tab w:val="left" w:leader="underscore" w:pos="9639"/>
        </w:tabs>
        <w:spacing w:after="0" w:line="240" w:lineRule="auto"/>
        <w:jc w:val="both"/>
        <w:rPr>
          <w:rFonts w:cs="Calibri"/>
        </w:rPr>
      </w:pPr>
      <w:r w:rsidRPr="008A41BD">
        <w:rPr>
          <w:rFonts w:cs="Calibri"/>
        </w:rPr>
        <w:t>Inversiones en valores:</w:t>
      </w:r>
    </w:p>
    <w:p w14:paraId="6CFB5BB3" w14:textId="77777777" w:rsidR="0083728C" w:rsidRDefault="0083728C" w:rsidP="0083728C">
      <w:pPr>
        <w:pStyle w:val="Prrafodelista"/>
        <w:tabs>
          <w:tab w:val="left" w:leader="underscore" w:pos="9639"/>
        </w:tabs>
        <w:spacing w:after="0" w:line="240" w:lineRule="auto"/>
        <w:jc w:val="both"/>
        <w:rPr>
          <w:rFonts w:cs="Calibri"/>
        </w:rPr>
      </w:pPr>
    </w:p>
    <w:p w14:paraId="144F6EFD" w14:textId="682F5E21" w:rsidR="0083728C" w:rsidRDefault="0083728C" w:rsidP="0083728C">
      <w:pPr>
        <w:tabs>
          <w:tab w:val="left" w:leader="underscore" w:pos="9639"/>
        </w:tabs>
        <w:spacing w:after="0" w:line="240" w:lineRule="auto"/>
        <w:jc w:val="both"/>
        <w:rPr>
          <w:rFonts w:cs="Calibri"/>
        </w:rPr>
      </w:pPr>
      <w:r w:rsidRPr="0083728C">
        <w:rPr>
          <w:noProof/>
        </w:rPr>
        <w:drawing>
          <wp:inline distT="0" distB="0" distL="0" distR="0" wp14:anchorId="5885DA7A" wp14:editId="32D33DEC">
            <wp:extent cx="6151880" cy="1056531"/>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1056531"/>
                    </a:xfrm>
                    <a:prstGeom prst="rect">
                      <a:avLst/>
                    </a:prstGeom>
                    <a:noFill/>
                    <a:ln>
                      <a:noFill/>
                    </a:ln>
                  </pic:spPr>
                </pic:pic>
              </a:graphicData>
            </a:graphic>
          </wp:inline>
        </w:drawing>
      </w:r>
    </w:p>
    <w:p w14:paraId="36A2668D" w14:textId="1FC417B1" w:rsidR="00C66CFA" w:rsidRPr="0083728C" w:rsidRDefault="0083728C" w:rsidP="0083728C">
      <w:pPr>
        <w:tabs>
          <w:tab w:val="left" w:leader="underscore" w:pos="9639"/>
        </w:tabs>
        <w:spacing w:after="0" w:line="240" w:lineRule="auto"/>
        <w:jc w:val="both"/>
        <w:rPr>
          <w:rFonts w:cs="Calibri"/>
        </w:rPr>
      </w:pPr>
      <w:r w:rsidRPr="0083728C">
        <w:rPr>
          <w:rFonts w:cs="Calibri"/>
        </w:rPr>
        <w:t xml:space="preserve"> </w:t>
      </w:r>
    </w:p>
    <w:p w14:paraId="7F294F69" w14:textId="51A15E10" w:rsidR="007D1E76" w:rsidRPr="00C66CFA" w:rsidRDefault="00C66CFA" w:rsidP="00C66CFA">
      <w:pPr>
        <w:tabs>
          <w:tab w:val="left" w:leader="underscore" w:pos="9639"/>
        </w:tabs>
        <w:spacing w:after="0" w:line="240" w:lineRule="auto"/>
        <w:ind w:left="360"/>
        <w:jc w:val="both"/>
        <w:rPr>
          <w:rFonts w:cs="Calibri"/>
        </w:rPr>
      </w:pPr>
      <w:r w:rsidRPr="00C66CFA">
        <w:rPr>
          <w:rFonts w:cs="Calibri"/>
          <w:b/>
        </w:rPr>
        <w:t xml:space="preserve"> </w:t>
      </w:r>
      <w:r w:rsidR="007D1E76" w:rsidRPr="00C66CFA">
        <w:rPr>
          <w:rFonts w:cs="Calibri"/>
          <w:b/>
        </w:rPr>
        <w:t>b)</w:t>
      </w:r>
      <w:r w:rsidR="007D1E76" w:rsidRPr="00C66CFA">
        <w:rPr>
          <w:rFonts w:cs="Calibri"/>
        </w:rPr>
        <w:t xml:space="preserve"> Patrimonio de Organismos descentralizados de Control Presupuestario Indirecto:</w:t>
      </w:r>
    </w:p>
    <w:p w14:paraId="524B0D17"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4421515"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62F856C"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81E3BF4"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AEED08F"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36C404BF" w14:textId="77777777" w:rsidR="002E7EB3" w:rsidRDefault="002E7EB3" w:rsidP="00CB41C4">
      <w:pPr>
        <w:tabs>
          <w:tab w:val="left" w:leader="underscore" w:pos="9639"/>
        </w:tabs>
        <w:spacing w:after="0" w:line="240" w:lineRule="auto"/>
        <w:jc w:val="both"/>
        <w:rPr>
          <w:rFonts w:cs="Calibri"/>
          <w:b/>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8F6E489"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345CCFCF" w14:textId="77777777" w:rsidR="0083728C" w:rsidRPr="0083728C" w:rsidRDefault="0083728C" w:rsidP="0083728C">
      <w:pPr>
        <w:jc w:val="both"/>
        <w:rPr>
          <w:rFonts w:ascii="Arial" w:hAnsi="Arial" w:cs="Arial"/>
          <w:b/>
          <w:bCs/>
          <w:sz w:val="20"/>
          <w:szCs w:val="20"/>
        </w:rPr>
      </w:pPr>
      <w:bookmarkStart w:id="10" w:name="_Toc508279631"/>
      <w:r w:rsidRPr="0083728C">
        <w:rPr>
          <w:rFonts w:ascii="Arial" w:hAnsi="Arial" w:cs="Arial"/>
          <w:b/>
          <w:bCs/>
          <w:sz w:val="20"/>
          <w:szCs w:val="20"/>
        </w:rPr>
        <w:t xml:space="preserve">10. Reporte de la Recaudación:                       </w:t>
      </w:r>
    </w:p>
    <w:p w14:paraId="679D0500" w14:textId="77777777" w:rsidR="0083728C" w:rsidRPr="0083728C" w:rsidRDefault="0083728C" w:rsidP="0083728C">
      <w:pPr>
        <w:jc w:val="both"/>
        <w:rPr>
          <w:rFonts w:ascii="Arial" w:hAnsi="Arial" w:cs="Arial"/>
          <w:sz w:val="20"/>
          <w:szCs w:val="20"/>
        </w:rPr>
      </w:pPr>
      <w:r w:rsidRPr="0083728C">
        <w:rPr>
          <w:rFonts w:ascii="Arial" w:hAnsi="Arial" w:cs="Arial"/>
          <w:sz w:val="20"/>
          <w:szCs w:val="20"/>
        </w:rPr>
        <w:t>a) Análisis del comportamiento de la recaudación correspondiente al ente público o cualquier tipo de ingreso, de forma separada los ingresos locales de los federales:</w:t>
      </w:r>
    </w:p>
    <w:p w14:paraId="0DD5B1D0" w14:textId="77777777" w:rsidR="0083728C" w:rsidRPr="0083728C" w:rsidRDefault="0083728C" w:rsidP="0083728C">
      <w:pPr>
        <w:jc w:val="both"/>
        <w:rPr>
          <w:rFonts w:ascii="Arial" w:hAnsi="Arial" w:cs="Arial"/>
          <w:b/>
          <w:bCs/>
          <w:sz w:val="20"/>
          <w:szCs w:val="20"/>
          <w:u w:val="single"/>
        </w:rPr>
      </w:pPr>
      <w:r w:rsidRPr="0083728C">
        <w:rPr>
          <w:rFonts w:ascii="Arial" w:hAnsi="Arial" w:cs="Arial"/>
          <w:sz w:val="20"/>
          <w:szCs w:val="20"/>
          <w:u w:val="single"/>
        </w:rPr>
        <w:t xml:space="preserve">En el mes de </w:t>
      </w:r>
      <w:r w:rsidRPr="0083728C">
        <w:rPr>
          <w:rFonts w:ascii="Arial" w:hAnsi="Arial" w:cs="Arial"/>
          <w:b/>
          <w:bCs/>
          <w:sz w:val="20"/>
          <w:szCs w:val="20"/>
          <w:u w:val="single"/>
        </w:rPr>
        <w:t>Diciembre del 2018</w:t>
      </w:r>
      <w:r w:rsidRPr="0083728C">
        <w:rPr>
          <w:rFonts w:ascii="Arial" w:hAnsi="Arial" w:cs="Arial"/>
          <w:sz w:val="20"/>
          <w:szCs w:val="20"/>
          <w:u w:val="single"/>
        </w:rPr>
        <w:t xml:space="preserve"> se obtuvo una recaudación acumulada de </w:t>
      </w:r>
      <w:r w:rsidRPr="0083728C">
        <w:rPr>
          <w:rFonts w:ascii="Arial" w:hAnsi="Arial" w:cs="Arial"/>
          <w:b/>
          <w:bCs/>
          <w:sz w:val="20"/>
          <w:szCs w:val="20"/>
          <w:u w:val="single"/>
        </w:rPr>
        <w:t>$259´234,256</w:t>
      </w:r>
      <w:r w:rsidRPr="0083728C">
        <w:rPr>
          <w:rFonts w:ascii="Arial" w:hAnsi="Arial" w:cs="Arial"/>
          <w:sz w:val="20"/>
          <w:szCs w:val="20"/>
          <w:u w:val="single"/>
        </w:rPr>
        <w:t xml:space="preserve"> (</w:t>
      </w:r>
      <w:r w:rsidRPr="0083728C">
        <w:rPr>
          <w:rFonts w:ascii="Arial" w:hAnsi="Arial" w:cs="Arial"/>
          <w:b/>
          <w:bCs/>
          <w:sz w:val="20"/>
          <w:szCs w:val="20"/>
          <w:u w:val="single"/>
        </w:rPr>
        <w:t>102.51%</w:t>
      </w:r>
      <w:r w:rsidRPr="0083728C">
        <w:rPr>
          <w:rFonts w:ascii="Arial" w:hAnsi="Arial" w:cs="Arial"/>
          <w:sz w:val="20"/>
          <w:szCs w:val="20"/>
          <w:u w:val="single"/>
        </w:rPr>
        <w:t xml:space="preserve"> de lo presupuestado) por el cobro de los servicios de agua potable, alcantarillado y saneamiento correspondiente al mes de referencia.</w:t>
      </w:r>
    </w:p>
    <w:p w14:paraId="5A131FC0" w14:textId="77777777" w:rsidR="0083728C" w:rsidRPr="0083728C" w:rsidRDefault="0083728C" w:rsidP="0083728C">
      <w:pPr>
        <w:jc w:val="both"/>
        <w:rPr>
          <w:rFonts w:ascii="Arial" w:hAnsi="Arial" w:cs="Arial"/>
          <w:sz w:val="20"/>
          <w:szCs w:val="20"/>
        </w:rPr>
      </w:pPr>
      <w:r w:rsidRPr="0083728C">
        <w:rPr>
          <w:rFonts w:ascii="Arial" w:hAnsi="Arial" w:cs="Arial"/>
          <w:sz w:val="20"/>
          <w:szCs w:val="20"/>
        </w:rPr>
        <w:t>b) Proyección de la recaudación e ingresos en el mediano plazo:</w:t>
      </w:r>
    </w:p>
    <w:p w14:paraId="2AB5E284" w14:textId="77777777" w:rsidR="0083728C" w:rsidRDefault="0083728C" w:rsidP="0083728C">
      <w:pPr>
        <w:jc w:val="both"/>
        <w:rPr>
          <w:rFonts w:cs="Calibri"/>
          <w:sz w:val="24"/>
          <w:szCs w:val="24"/>
          <w:lang w:val="es-ES"/>
        </w:rPr>
      </w:pPr>
      <w:r w:rsidRPr="0083728C">
        <w:rPr>
          <w:rFonts w:ascii="Arial" w:hAnsi="Arial" w:cs="Arial"/>
          <w:sz w:val="20"/>
          <w:szCs w:val="20"/>
          <w:u w:val="single"/>
        </w:rPr>
        <w:t xml:space="preserve">Se proyecta recaudar un total de </w:t>
      </w:r>
      <w:r w:rsidRPr="0083728C">
        <w:rPr>
          <w:rFonts w:ascii="Arial" w:hAnsi="Arial" w:cs="Arial"/>
          <w:b/>
          <w:bCs/>
          <w:sz w:val="20"/>
          <w:szCs w:val="20"/>
          <w:u w:val="single"/>
        </w:rPr>
        <w:t>$446’190,410</w:t>
      </w:r>
      <w:r w:rsidRPr="0083728C">
        <w:rPr>
          <w:rFonts w:ascii="Arial" w:hAnsi="Arial" w:cs="Arial"/>
          <w:sz w:val="20"/>
          <w:szCs w:val="20"/>
          <w:u w:val="single"/>
        </w:rPr>
        <w:t xml:space="preserve"> en todo el año por el servicio de agua potable y alcantarillado y cobro por los demás servicios que prestamos como son: cobro de derechos, contratos, instalaciones de toma y de descargas y la recuperación de rezago por los adeudos de los servicios de agua potable y alcantarillado. Al cierre de </w:t>
      </w:r>
      <w:r w:rsidRPr="0083728C">
        <w:rPr>
          <w:rFonts w:ascii="Arial" w:hAnsi="Arial" w:cs="Arial"/>
          <w:b/>
          <w:bCs/>
          <w:sz w:val="20"/>
          <w:szCs w:val="20"/>
          <w:u w:val="single"/>
        </w:rPr>
        <w:t>Diciembre de 2018</w:t>
      </w:r>
      <w:r w:rsidRPr="0083728C">
        <w:rPr>
          <w:rFonts w:ascii="Arial" w:hAnsi="Arial" w:cs="Arial"/>
          <w:sz w:val="20"/>
          <w:szCs w:val="20"/>
          <w:u w:val="single"/>
        </w:rPr>
        <w:t xml:space="preserve">, se logró recaudar un total de </w:t>
      </w:r>
      <w:r w:rsidRPr="0083728C">
        <w:rPr>
          <w:rFonts w:ascii="Arial" w:hAnsi="Arial" w:cs="Arial"/>
          <w:b/>
          <w:bCs/>
          <w:sz w:val="20"/>
          <w:szCs w:val="20"/>
          <w:u w:val="single"/>
        </w:rPr>
        <w:t>$558´828,298.75</w:t>
      </w:r>
      <w:r w:rsidRPr="0083728C">
        <w:rPr>
          <w:rFonts w:ascii="Arial" w:hAnsi="Arial" w:cs="Arial"/>
          <w:sz w:val="20"/>
          <w:szCs w:val="20"/>
          <w:u w:val="single"/>
        </w:rPr>
        <w:t xml:space="preserve">. </w:t>
      </w:r>
      <w:r w:rsidRPr="0083728C">
        <w:rPr>
          <w:rFonts w:ascii="Arial" w:hAnsi="Arial" w:cs="Arial"/>
          <w:sz w:val="20"/>
          <w:szCs w:val="20"/>
          <w:u w:val="single"/>
          <w:lang w:val="es-ES"/>
        </w:rPr>
        <w:t xml:space="preserve">Lo anterior representa un </w:t>
      </w:r>
      <w:r w:rsidRPr="0083728C">
        <w:rPr>
          <w:rFonts w:ascii="Arial" w:hAnsi="Arial" w:cs="Arial"/>
          <w:b/>
          <w:bCs/>
          <w:sz w:val="20"/>
          <w:szCs w:val="20"/>
          <w:u w:val="single"/>
          <w:lang w:val="es-ES"/>
        </w:rPr>
        <w:t>125.24%</w:t>
      </w:r>
      <w:r w:rsidRPr="0083728C">
        <w:rPr>
          <w:rFonts w:ascii="Arial" w:hAnsi="Arial" w:cs="Arial"/>
          <w:sz w:val="20"/>
          <w:szCs w:val="20"/>
          <w:u w:val="single"/>
          <w:lang w:val="es-ES"/>
        </w:rPr>
        <w:t xml:space="preserve"> del total presupuestado.</w:t>
      </w:r>
    </w:p>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C8ED635" w:rsidR="007D1E76" w:rsidRPr="0083728C" w:rsidRDefault="002E7EB3" w:rsidP="00CB41C4">
      <w:pPr>
        <w:tabs>
          <w:tab w:val="left" w:leader="underscore" w:pos="9639"/>
        </w:tabs>
        <w:spacing w:after="0" w:line="240" w:lineRule="auto"/>
        <w:jc w:val="both"/>
        <w:rPr>
          <w:rFonts w:cs="Calibri"/>
          <w:u w:val="single"/>
        </w:rPr>
      </w:pPr>
      <w:r w:rsidRPr="0083728C">
        <w:rPr>
          <w:rFonts w:cs="Calibri"/>
          <w:u w:val="single"/>
        </w:rPr>
        <w:t>NO SE CUENTA CON DEUDA PUBLICA</w:t>
      </w:r>
    </w:p>
    <w:p w14:paraId="6536A618" w14:textId="77777777" w:rsidR="002E7EB3" w:rsidRPr="00E74967" w:rsidRDefault="002E7EB3"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E6D20DC"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CEF4F48" w14:textId="307489DC" w:rsidR="002E7EB3" w:rsidRPr="00E5617B" w:rsidRDefault="002E7EB3" w:rsidP="002E7EB3">
      <w:pPr>
        <w:jc w:val="both"/>
        <w:rPr>
          <w:rFonts w:ascii="Arial" w:hAnsi="Arial" w:cs="Arial"/>
          <w:sz w:val="20"/>
          <w:szCs w:val="20"/>
          <w:u w:val="single"/>
        </w:rPr>
      </w:pPr>
      <w:r w:rsidRPr="008F0698">
        <w:rPr>
          <w:rFonts w:ascii="Arial" w:hAnsi="Arial" w:cs="Arial"/>
          <w:sz w:val="20"/>
          <w:szCs w:val="20"/>
          <w:u w:val="single"/>
        </w:rPr>
        <w:t>Lineamientos de Austeridad, Racionalidad y Disciplina Presupuestal para el Ejercicio 201</w:t>
      </w:r>
      <w:r>
        <w:rPr>
          <w:rFonts w:ascii="Arial" w:hAnsi="Arial" w:cs="Arial"/>
          <w:sz w:val="20"/>
          <w:szCs w:val="20"/>
          <w:u w:val="single"/>
        </w:rPr>
        <w:t>8</w:t>
      </w:r>
      <w:r w:rsidRPr="008F0698">
        <w:rPr>
          <w:rFonts w:ascii="Arial" w:hAnsi="Arial" w:cs="Arial"/>
          <w:sz w:val="20"/>
          <w:szCs w:val="20"/>
          <w:u w:val="single"/>
        </w:rPr>
        <w:t xml:space="preserve">, </w:t>
      </w:r>
      <w:r w:rsidRPr="00E5617B">
        <w:rPr>
          <w:rFonts w:ascii="Arial" w:hAnsi="Arial" w:cs="Arial"/>
          <w:sz w:val="20"/>
          <w:szCs w:val="20"/>
          <w:u w:val="single"/>
        </w:rPr>
        <w:t xml:space="preserve">Reglamento Interior de Trabajo, Contrato Colectivo de Trabajo, Lineamientos Generales para el Trato a los empleados de Confianza, Política de Calidad. </w:t>
      </w: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5D858928" w:rsidR="007D1E76" w:rsidRPr="002E7EB3" w:rsidRDefault="002E7EB3" w:rsidP="00CB41C4">
      <w:pPr>
        <w:tabs>
          <w:tab w:val="left" w:leader="underscore" w:pos="9639"/>
        </w:tabs>
        <w:spacing w:after="0" w:line="240" w:lineRule="auto"/>
        <w:jc w:val="both"/>
        <w:rPr>
          <w:rFonts w:cs="Calibri"/>
          <w:u w:val="single"/>
        </w:rPr>
      </w:pPr>
      <w:r w:rsidRPr="002E7EB3">
        <w:rPr>
          <w:rFonts w:cs="Calibri"/>
          <w:u w:val="single"/>
        </w:rPr>
        <w:t xml:space="preserve">Se realizan lo manifestado en el archivo </w:t>
      </w:r>
      <w:r w:rsidRPr="002E7EB3">
        <w:rPr>
          <w:rFonts w:ascii="Century Gothic" w:eastAsia="Times New Roman" w:hAnsi="Century Gothic" w:cs="Arial"/>
          <w:color w:val="000000"/>
          <w:sz w:val="20"/>
          <w:szCs w:val="20"/>
          <w:u w:val="single"/>
          <w:lang w:eastAsia="es-MX"/>
        </w:rPr>
        <w:t>0333_IR_1801_MCYA_AWA- Indicadores de Resultados</w:t>
      </w:r>
    </w:p>
    <w:p w14:paraId="795495BA" w14:textId="77777777" w:rsidR="007D1E76" w:rsidRPr="002E7EB3" w:rsidRDefault="007D1E76" w:rsidP="00CB41C4">
      <w:pPr>
        <w:tabs>
          <w:tab w:val="left" w:leader="underscore" w:pos="9639"/>
        </w:tabs>
        <w:spacing w:after="0" w:line="240" w:lineRule="auto"/>
        <w:jc w:val="both"/>
        <w:rPr>
          <w:rFonts w:cs="Calibri"/>
          <w:u w:val="single"/>
        </w:rPr>
      </w:pPr>
    </w:p>
    <w:p w14:paraId="63E2F6C6" w14:textId="77777777" w:rsidR="002E7EB3" w:rsidRPr="00E74967" w:rsidRDefault="002E7EB3"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35FB20B0" w14:textId="77777777" w:rsidR="0083728C" w:rsidRPr="00E74967" w:rsidRDefault="0083728C" w:rsidP="00CB41C4">
      <w:pPr>
        <w:tabs>
          <w:tab w:val="left" w:leader="underscore" w:pos="9639"/>
        </w:tabs>
        <w:spacing w:after="0" w:line="240" w:lineRule="auto"/>
        <w:jc w:val="both"/>
        <w:rPr>
          <w:rFonts w:cs="Calibri"/>
        </w:rPr>
      </w:pPr>
    </w:p>
    <w:p w14:paraId="33A52422" w14:textId="4607D820" w:rsidR="0083728C" w:rsidRPr="007653AB" w:rsidRDefault="0083728C" w:rsidP="0083728C">
      <w:pPr>
        <w:tabs>
          <w:tab w:val="left" w:leader="underscore" w:pos="9639"/>
        </w:tabs>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No realizamos movimientos que los afecten.</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15C539A" w:rsidR="007D1E76" w:rsidRDefault="0083728C" w:rsidP="00CB41C4">
      <w:pPr>
        <w:tabs>
          <w:tab w:val="left" w:leader="underscore" w:pos="9639"/>
        </w:tabs>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No realizamos movimientos que los afecten.</w:t>
      </w:r>
    </w:p>
    <w:p w14:paraId="7E003FA4" w14:textId="77777777" w:rsidR="0083728C" w:rsidRPr="00E74967" w:rsidRDefault="0083728C"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1C8D668" w14:textId="77777777" w:rsidR="00EA7959" w:rsidRPr="007653AB" w:rsidRDefault="00EA7959" w:rsidP="00EA7959">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8D258" w14:textId="77777777" w:rsidR="00202F32" w:rsidRDefault="00202F32" w:rsidP="00E00323">
      <w:pPr>
        <w:spacing w:after="0" w:line="240" w:lineRule="auto"/>
      </w:pPr>
      <w:r>
        <w:separator/>
      </w:r>
    </w:p>
  </w:endnote>
  <w:endnote w:type="continuationSeparator" w:id="0">
    <w:p w14:paraId="29C46FFB" w14:textId="77777777" w:rsidR="00202F32" w:rsidRDefault="00202F3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6E0A86" w:rsidRDefault="006E0A86">
        <w:pPr>
          <w:pStyle w:val="Piedepgina"/>
          <w:jc w:val="right"/>
        </w:pPr>
        <w:r>
          <w:fldChar w:fldCharType="begin"/>
        </w:r>
        <w:r>
          <w:instrText>PAGE   \* MERGEFORMAT</w:instrText>
        </w:r>
        <w:r>
          <w:fldChar w:fldCharType="separate"/>
        </w:r>
        <w:r w:rsidR="0083728C" w:rsidRPr="0083728C">
          <w:rPr>
            <w:noProof/>
            <w:lang w:val="es-ES"/>
          </w:rPr>
          <w:t>12</w:t>
        </w:r>
        <w:r>
          <w:fldChar w:fldCharType="end"/>
        </w:r>
      </w:p>
    </w:sdtContent>
  </w:sdt>
  <w:p w14:paraId="37983FFD" w14:textId="77777777" w:rsidR="006E0A86" w:rsidRDefault="006E0A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CD8B" w14:textId="77777777" w:rsidR="00202F32" w:rsidRDefault="00202F32" w:rsidP="00E00323">
      <w:pPr>
        <w:spacing w:after="0" w:line="240" w:lineRule="auto"/>
      </w:pPr>
      <w:r>
        <w:separator/>
      </w:r>
    </w:p>
  </w:footnote>
  <w:footnote w:type="continuationSeparator" w:id="0">
    <w:p w14:paraId="34D5CA30" w14:textId="77777777" w:rsidR="00202F32" w:rsidRDefault="00202F3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584F643E" w:rsidR="006E0A86" w:rsidRDefault="006E0A86" w:rsidP="00A4610E">
    <w:pPr>
      <w:pStyle w:val="Encabezado"/>
      <w:spacing w:after="0" w:line="240" w:lineRule="auto"/>
      <w:jc w:val="center"/>
    </w:pPr>
    <w:r>
      <w:t>JUNTA MUNICIPAL DE AGUA POTABLE Y ALCANTARILLADO DE CELAYA, GTO.</w:t>
    </w:r>
  </w:p>
  <w:p w14:paraId="651A4C4F" w14:textId="46A68178" w:rsidR="006E0A86" w:rsidRDefault="006E0A86" w:rsidP="00A4610E">
    <w:pPr>
      <w:pStyle w:val="Encabezado"/>
      <w:spacing w:after="0" w:line="240" w:lineRule="auto"/>
      <w:jc w:val="center"/>
    </w:pPr>
    <w:r w:rsidRPr="00A4610E">
      <w:t>CORRESPONDI</w:t>
    </w:r>
    <w:r>
      <w:t>ENTES AL 31 DE DICIEMBRE DE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01FBE"/>
    <w:multiLevelType w:val="hybridMultilevel"/>
    <w:tmpl w:val="FCB66FDE"/>
    <w:lvl w:ilvl="0" w:tplc="3D1836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12405A"/>
    <w:rsid w:val="00154BA3"/>
    <w:rsid w:val="001973A2"/>
    <w:rsid w:val="001C75F2"/>
    <w:rsid w:val="001D2063"/>
    <w:rsid w:val="001D43E9"/>
    <w:rsid w:val="001F1242"/>
    <w:rsid w:val="00202F32"/>
    <w:rsid w:val="002E7EB3"/>
    <w:rsid w:val="003453CA"/>
    <w:rsid w:val="00414873"/>
    <w:rsid w:val="00435A87"/>
    <w:rsid w:val="00436C88"/>
    <w:rsid w:val="004A58C8"/>
    <w:rsid w:val="0054701E"/>
    <w:rsid w:val="005B664F"/>
    <w:rsid w:val="005D3E43"/>
    <w:rsid w:val="005E231E"/>
    <w:rsid w:val="00657009"/>
    <w:rsid w:val="00663833"/>
    <w:rsid w:val="00681C79"/>
    <w:rsid w:val="006E0A86"/>
    <w:rsid w:val="007359DA"/>
    <w:rsid w:val="007610BC"/>
    <w:rsid w:val="007653AB"/>
    <w:rsid w:val="007714AB"/>
    <w:rsid w:val="007D1E76"/>
    <w:rsid w:val="007D4484"/>
    <w:rsid w:val="0083728C"/>
    <w:rsid w:val="0086459F"/>
    <w:rsid w:val="008A41BD"/>
    <w:rsid w:val="008C3BB8"/>
    <w:rsid w:val="008E076C"/>
    <w:rsid w:val="0092765C"/>
    <w:rsid w:val="00A4610E"/>
    <w:rsid w:val="00A730E0"/>
    <w:rsid w:val="00AA41E5"/>
    <w:rsid w:val="00AB722B"/>
    <w:rsid w:val="00AE1F6A"/>
    <w:rsid w:val="00B84C93"/>
    <w:rsid w:val="00B864D4"/>
    <w:rsid w:val="00C66CFA"/>
    <w:rsid w:val="00C97E1E"/>
    <w:rsid w:val="00CB41C4"/>
    <w:rsid w:val="00CB49A2"/>
    <w:rsid w:val="00CF1316"/>
    <w:rsid w:val="00D13C44"/>
    <w:rsid w:val="00D975B1"/>
    <w:rsid w:val="00DD206B"/>
    <w:rsid w:val="00E00323"/>
    <w:rsid w:val="00E74967"/>
    <w:rsid w:val="00EA37F5"/>
    <w:rsid w:val="00EA7915"/>
    <w:rsid w:val="00EA7959"/>
    <w:rsid w:val="00F35FCF"/>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547DA28"/>
  <w15:docId w15:val="{7CA6686C-D230-4B01-8BCC-5056236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independiente">
    <w:name w:val="Body Text"/>
    <w:basedOn w:val="Normal"/>
    <w:link w:val="TextoindependienteCar"/>
    <w:rsid w:val="008A41BD"/>
    <w:pPr>
      <w:autoSpaceDE w:val="0"/>
      <w:autoSpaceDN w:val="0"/>
      <w:adjustRightInd w:val="0"/>
      <w:spacing w:after="0" w:line="240" w:lineRule="auto"/>
      <w:jc w:val="both"/>
    </w:pPr>
    <w:rPr>
      <w:rFonts w:ascii="Helvetica" w:eastAsia="Times New Roman" w:hAnsi="Helvetica" w:cs="Helvetica"/>
      <w:color w:val="000000"/>
      <w:sz w:val="24"/>
      <w:szCs w:val="24"/>
      <w:lang w:val="es-ES" w:eastAsia="es-ES"/>
    </w:rPr>
  </w:style>
  <w:style w:type="character" w:customStyle="1" w:styleId="TextoindependienteCar">
    <w:name w:val="Texto independiente Car"/>
    <w:basedOn w:val="Fuentedeprrafopredeter"/>
    <w:link w:val="Textoindependiente"/>
    <w:rsid w:val="008A41BD"/>
    <w:rPr>
      <w:rFonts w:ascii="Helvetica" w:eastAsia="Times New Roman" w:hAnsi="Helvetica" w:cs="Helvetic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61584">
      <w:bodyDiv w:val="1"/>
      <w:marLeft w:val="0"/>
      <w:marRight w:val="0"/>
      <w:marTop w:val="0"/>
      <w:marBottom w:val="0"/>
      <w:divBdr>
        <w:top w:val="none" w:sz="0" w:space="0" w:color="auto"/>
        <w:left w:val="none" w:sz="0" w:space="0" w:color="auto"/>
        <w:bottom w:val="none" w:sz="0" w:space="0" w:color="auto"/>
        <w:right w:val="none" w:sz="0" w:space="0" w:color="auto"/>
      </w:divBdr>
    </w:div>
    <w:div w:id="417675919">
      <w:bodyDiv w:val="1"/>
      <w:marLeft w:val="0"/>
      <w:marRight w:val="0"/>
      <w:marTop w:val="0"/>
      <w:marBottom w:val="0"/>
      <w:divBdr>
        <w:top w:val="none" w:sz="0" w:space="0" w:color="auto"/>
        <w:left w:val="none" w:sz="0" w:space="0" w:color="auto"/>
        <w:bottom w:val="none" w:sz="0" w:space="0" w:color="auto"/>
        <w:right w:val="none" w:sz="0" w:space="0" w:color="auto"/>
      </w:divBdr>
    </w:div>
    <w:div w:id="491415070">
      <w:bodyDiv w:val="1"/>
      <w:marLeft w:val="0"/>
      <w:marRight w:val="0"/>
      <w:marTop w:val="0"/>
      <w:marBottom w:val="0"/>
      <w:divBdr>
        <w:top w:val="none" w:sz="0" w:space="0" w:color="auto"/>
        <w:left w:val="none" w:sz="0" w:space="0" w:color="auto"/>
        <w:bottom w:val="none" w:sz="0" w:space="0" w:color="auto"/>
        <w:right w:val="none" w:sz="0" w:space="0" w:color="auto"/>
      </w:divBdr>
    </w:div>
    <w:div w:id="548960434">
      <w:bodyDiv w:val="1"/>
      <w:marLeft w:val="0"/>
      <w:marRight w:val="0"/>
      <w:marTop w:val="0"/>
      <w:marBottom w:val="0"/>
      <w:divBdr>
        <w:top w:val="none" w:sz="0" w:space="0" w:color="auto"/>
        <w:left w:val="none" w:sz="0" w:space="0" w:color="auto"/>
        <w:bottom w:val="none" w:sz="0" w:space="0" w:color="auto"/>
        <w:right w:val="none" w:sz="0" w:space="0" w:color="auto"/>
      </w:divBdr>
    </w:div>
    <w:div w:id="720176572">
      <w:bodyDiv w:val="1"/>
      <w:marLeft w:val="0"/>
      <w:marRight w:val="0"/>
      <w:marTop w:val="0"/>
      <w:marBottom w:val="0"/>
      <w:divBdr>
        <w:top w:val="none" w:sz="0" w:space="0" w:color="auto"/>
        <w:left w:val="none" w:sz="0" w:space="0" w:color="auto"/>
        <w:bottom w:val="none" w:sz="0" w:space="0" w:color="auto"/>
        <w:right w:val="none" w:sz="0" w:space="0" w:color="auto"/>
      </w:divBdr>
    </w:div>
    <w:div w:id="974485884">
      <w:bodyDiv w:val="1"/>
      <w:marLeft w:val="0"/>
      <w:marRight w:val="0"/>
      <w:marTop w:val="0"/>
      <w:marBottom w:val="0"/>
      <w:divBdr>
        <w:top w:val="none" w:sz="0" w:space="0" w:color="auto"/>
        <w:left w:val="none" w:sz="0" w:space="0" w:color="auto"/>
        <w:bottom w:val="none" w:sz="0" w:space="0" w:color="auto"/>
        <w:right w:val="none" w:sz="0" w:space="0" w:color="auto"/>
      </w:divBdr>
    </w:div>
    <w:div w:id="1070424629">
      <w:bodyDiv w:val="1"/>
      <w:marLeft w:val="0"/>
      <w:marRight w:val="0"/>
      <w:marTop w:val="0"/>
      <w:marBottom w:val="0"/>
      <w:divBdr>
        <w:top w:val="none" w:sz="0" w:space="0" w:color="auto"/>
        <w:left w:val="none" w:sz="0" w:space="0" w:color="auto"/>
        <w:bottom w:val="none" w:sz="0" w:space="0" w:color="auto"/>
        <w:right w:val="none" w:sz="0" w:space="0" w:color="auto"/>
      </w:divBdr>
    </w:div>
    <w:div w:id="1403598400">
      <w:bodyDiv w:val="1"/>
      <w:marLeft w:val="0"/>
      <w:marRight w:val="0"/>
      <w:marTop w:val="0"/>
      <w:marBottom w:val="0"/>
      <w:divBdr>
        <w:top w:val="none" w:sz="0" w:space="0" w:color="auto"/>
        <w:left w:val="none" w:sz="0" w:space="0" w:color="auto"/>
        <w:bottom w:val="none" w:sz="0" w:space="0" w:color="auto"/>
        <w:right w:val="none" w:sz="0" w:space="0" w:color="auto"/>
      </w:divBdr>
    </w:div>
    <w:div w:id="1617713042">
      <w:bodyDiv w:val="1"/>
      <w:marLeft w:val="0"/>
      <w:marRight w:val="0"/>
      <w:marTop w:val="0"/>
      <w:marBottom w:val="0"/>
      <w:divBdr>
        <w:top w:val="none" w:sz="0" w:space="0" w:color="auto"/>
        <w:left w:val="none" w:sz="0" w:space="0" w:color="auto"/>
        <w:bottom w:val="none" w:sz="0" w:space="0" w:color="auto"/>
        <w:right w:val="none" w:sz="0" w:space="0" w:color="auto"/>
      </w:divBdr>
    </w:div>
    <w:div w:id="1713530547">
      <w:bodyDiv w:val="1"/>
      <w:marLeft w:val="0"/>
      <w:marRight w:val="0"/>
      <w:marTop w:val="0"/>
      <w:marBottom w:val="0"/>
      <w:divBdr>
        <w:top w:val="none" w:sz="0" w:space="0" w:color="auto"/>
        <w:left w:val="none" w:sz="0" w:space="0" w:color="auto"/>
        <w:bottom w:val="none" w:sz="0" w:space="0" w:color="auto"/>
        <w:right w:val="none" w:sz="0" w:space="0" w:color="auto"/>
      </w:divBdr>
    </w:div>
    <w:div w:id="2012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lfinanciero.com.mx/economia/banco-mundial-reduce-crecimiento-de-mexico-para-2018-y-2019.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A370FF-D15F-4ED7-94EC-FF385A43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3550</Words>
  <Characters>19525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23029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Estefania</cp:lastModifiedBy>
  <cp:revision>2</cp:revision>
  <dcterms:created xsi:type="dcterms:W3CDTF">2019-01-17T16:38:00Z</dcterms:created>
  <dcterms:modified xsi:type="dcterms:W3CDTF">2019-01-17T16:38:00Z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