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637E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583FAB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D3447">
              <w:rPr>
                <w:noProof/>
                <w:webHidden/>
              </w:rPr>
              <w:t>2</w:t>
            </w:r>
            <w:r>
              <w:rPr>
                <w:noProof/>
                <w:webHidden/>
              </w:rPr>
              <w:fldChar w:fldCharType="end"/>
            </w:r>
          </w:hyperlink>
        </w:p>
        <w:p w14:paraId="47CC41D1" w14:textId="17D50B4A" w:rsidR="00F46719" w:rsidRDefault="000637E6">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D3447">
              <w:rPr>
                <w:noProof/>
                <w:webHidden/>
              </w:rPr>
              <w:t>2</w:t>
            </w:r>
            <w:r w:rsidR="00F46719">
              <w:rPr>
                <w:noProof/>
                <w:webHidden/>
              </w:rPr>
              <w:fldChar w:fldCharType="end"/>
            </w:r>
          </w:hyperlink>
        </w:p>
        <w:p w14:paraId="0205BF1A" w14:textId="0CBABD29" w:rsidR="00F46719" w:rsidRDefault="000637E6">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D3447">
              <w:rPr>
                <w:noProof/>
                <w:webHidden/>
              </w:rPr>
              <w:t>4</w:t>
            </w:r>
            <w:r w:rsidR="00F46719">
              <w:rPr>
                <w:noProof/>
                <w:webHidden/>
              </w:rPr>
              <w:fldChar w:fldCharType="end"/>
            </w:r>
          </w:hyperlink>
        </w:p>
        <w:p w14:paraId="3181098F" w14:textId="180CFDCE" w:rsidR="00F46719" w:rsidRDefault="000637E6">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D3447">
              <w:rPr>
                <w:noProof/>
                <w:webHidden/>
              </w:rPr>
              <w:t>4</w:t>
            </w:r>
            <w:r w:rsidR="00F46719">
              <w:rPr>
                <w:noProof/>
                <w:webHidden/>
              </w:rPr>
              <w:fldChar w:fldCharType="end"/>
            </w:r>
          </w:hyperlink>
        </w:p>
        <w:p w14:paraId="3E5886DF" w14:textId="7BADE43A" w:rsidR="00F46719" w:rsidRDefault="000637E6">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D3447">
              <w:rPr>
                <w:noProof/>
                <w:webHidden/>
              </w:rPr>
              <w:t>6</w:t>
            </w:r>
            <w:r w:rsidR="00F46719">
              <w:rPr>
                <w:noProof/>
                <w:webHidden/>
              </w:rPr>
              <w:fldChar w:fldCharType="end"/>
            </w:r>
          </w:hyperlink>
        </w:p>
        <w:p w14:paraId="653AF446" w14:textId="1ACCB565" w:rsidR="00F46719" w:rsidRDefault="000637E6">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D3447">
              <w:rPr>
                <w:noProof/>
                <w:webHidden/>
              </w:rPr>
              <w:t>8</w:t>
            </w:r>
            <w:r w:rsidR="00F46719">
              <w:rPr>
                <w:noProof/>
                <w:webHidden/>
              </w:rPr>
              <w:fldChar w:fldCharType="end"/>
            </w:r>
          </w:hyperlink>
        </w:p>
        <w:p w14:paraId="21BA046A" w14:textId="5EDBB90E" w:rsidR="00F46719" w:rsidRDefault="000637E6">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D3447">
              <w:rPr>
                <w:noProof/>
                <w:webHidden/>
              </w:rPr>
              <w:t>9</w:t>
            </w:r>
            <w:r w:rsidR="00F46719">
              <w:rPr>
                <w:noProof/>
                <w:webHidden/>
              </w:rPr>
              <w:fldChar w:fldCharType="end"/>
            </w:r>
          </w:hyperlink>
        </w:p>
        <w:p w14:paraId="784807F5" w14:textId="3E4B17F2" w:rsidR="00F46719" w:rsidRDefault="000637E6">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D3447">
              <w:rPr>
                <w:noProof/>
                <w:webHidden/>
              </w:rPr>
              <w:t>10</w:t>
            </w:r>
            <w:r w:rsidR="00F46719">
              <w:rPr>
                <w:noProof/>
                <w:webHidden/>
              </w:rPr>
              <w:fldChar w:fldCharType="end"/>
            </w:r>
          </w:hyperlink>
        </w:p>
        <w:p w14:paraId="7E663DB5" w14:textId="3CFD1148" w:rsidR="00F46719" w:rsidRDefault="000637E6">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D3447">
              <w:rPr>
                <w:noProof/>
                <w:webHidden/>
              </w:rPr>
              <w:t>12</w:t>
            </w:r>
            <w:r w:rsidR="00F46719">
              <w:rPr>
                <w:noProof/>
                <w:webHidden/>
              </w:rPr>
              <w:fldChar w:fldCharType="end"/>
            </w:r>
          </w:hyperlink>
        </w:p>
        <w:p w14:paraId="335A44C3" w14:textId="041EAA6C" w:rsidR="00F46719" w:rsidRDefault="000637E6">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D3447">
              <w:rPr>
                <w:noProof/>
                <w:webHidden/>
              </w:rPr>
              <w:t>12</w:t>
            </w:r>
            <w:r w:rsidR="00F46719">
              <w:rPr>
                <w:noProof/>
                <w:webHidden/>
              </w:rPr>
              <w:fldChar w:fldCharType="end"/>
            </w:r>
          </w:hyperlink>
        </w:p>
        <w:p w14:paraId="290CB7FF" w14:textId="1353EC5D" w:rsidR="00F46719" w:rsidRDefault="000637E6">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67FB6C3B" w14:textId="78C8154A" w:rsidR="00F46719" w:rsidRDefault="000637E6">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3373EEEC" w14:textId="56639429" w:rsidR="00F46719" w:rsidRDefault="000637E6">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D3447">
              <w:rPr>
                <w:noProof/>
                <w:webHidden/>
              </w:rPr>
              <w:t>15</w:t>
            </w:r>
            <w:r w:rsidR="00F46719">
              <w:rPr>
                <w:noProof/>
                <w:webHidden/>
              </w:rPr>
              <w:fldChar w:fldCharType="end"/>
            </w:r>
          </w:hyperlink>
        </w:p>
        <w:p w14:paraId="01A1A543" w14:textId="22332985" w:rsidR="00F46719" w:rsidRDefault="000637E6">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314DA06E" w14:textId="2D86BB62" w:rsidR="00F46719" w:rsidRDefault="000637E6">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0A10726F" w14:textId="47887815" w:rsidR="00F46719" w:rsidRDefault="000637E6">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D3447">
              <w:rPr>
                <w:noProof/>
                <w:webHidden/>
              </w:rPr>
              <w:t>16</w:t>
            </w:r>
            <w:r w:rsidR="00F46719">
              <w:rPr>
                <w:noProof/>
                <w:webHidden/>
              </w:rPr>
              <w:fldChar w:fldCharType="end"/>
            </w:r>
          </w:hyperlink>
        </w:p>
        <w:p w14:paraId="3402BC77" w14:textId="3582B88A" w:rsidR="00F46719" w:rsidRDefault="000637E6">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D3447">
              <w:rPr>
                <w:noProof/>
                <w:webHidden/>
              </w:rPr>
              <w:t>17</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06A37F1E" w14:textId="77777777" w:rsidR="00735195" w:rsidRPr="00E74967" w:rsidRDefault="00735195" w:rsidP="00CB41C4">
      <w:pPr>
        <w:tabs>
          <w:tab w:val="left" w:leader="underscore" w:pos="9639"/>
        </w:tabs>
        <w:spacing w:after="0" w:line="240" w:lineRule="auto"/>
        <w:jc w:val="both"/>
        <w:rPr>
          <w:rFonts w:cs="Calibri"/>
        </w:rPr>
      </w:pPr>
    </w:p>
    <w:p w14:paraId="0983B373" w14:textId="23E4CF56" w:rsidR="00735195" w:rsidRPr="00F07724" w:rsidRDefault="00735195" w:rsidP="00735195">
      <w:pPr>
        <w:jc w:val="both"/>
        <w:rPr>
          <w:rFonts w:cs="Calibri"/>
        </w:rPr>
      </w:pPr>
      <w:r w:rsidRPr="00F07724">
        <w:rPr>
          <w:rFonts w:cs="Calibri"/>
        </w:rPr>
        <w:t xml:space="preserve">El </w:t>
      </w:r>
      <w:r>
        <w:rPr>
          <w:rFonts w:cs="Calibri"/>
        </w:rPr>
        <w:t>Instituto</w:t>
      </w:r>
      <w:r w:rsidRPr="00F07724">
        <w:rPr>
          <w:rFonts w:cs="Calibri"/>
        </w:rPr>
        <w:t xml:space="preserve"> Munici</w:t>
      </w:r>
      <w:r>
        <w:rPr>
          <w:rFonts w:cs="Calibri"/>
        </w:rPr>
        <w:t>pal de Arte y Cultura de Celaya,</w:t>
      </w:r>
      <w:r w:rsidRPr="00F07724">
        <w:rPr>
          <w:rFonts w:cs="Calibri"/>
        </w:rPr>
        <w:t xml:space="preserve"> es la Institución Cultural del Municipio que coordina, dirige y promueve actividades de difusión, promoción y capacitación en el área de cultura para consolidar la identidad de los Celayenses, fomentar nuestras tradiciones y los valores universales además de estimular la creatividad artística e intelectual. </w:t>
      </w:r>
    </w:p>
    <w:p w14:paraId="1C87E9F8" w14:textId="77777777" w:rsidR="00735195" w:rsidRPr="00F07724" w:rsidRDefault="00735195" w:rsidP="00735195">
      <w:pPr>
        <w:spacing w:after="0" w:line="240" w:lineRule="auto"/>
        <w:jc w:val="both"/>
        <w:rPr>
          <w:rFonts w:cs="Calibri"/>
        </w:rPr>
      </w:pPr>
      <w:r w:rsidRPr="00F07724">
        <w:rPr>
          <w:rFonts w:cs="Calibri"/>
        </w:rPr>
        <w:t>Orientamos nuestros esfuerzos para brindar a los Celayenses servicios culturales, a través de sus distintos programas, apoyar a los creadores e intelectuales en sus trabajos difundiendo sus obras; fortalecer la educación y la iniciación en las disciplinas artísticas, crear vínculos con otros Estados de la República y fundamentalmente con otros organismos encargados de la promoción cultural para cumplir con el compromiso de ofrecer alternativas culturales y artísticas a la comunidad que propicie la sensibilización, la integración familiar, el respeto a nuestras tradiciones, el fortalecimiento de nuestra identidad y que contribuya a una mejor convivencia y calidad de vida en nuestra población</w:t>
      </w:r>
      <w:r>
        <w:rPr>
          <w:rFonts w:cs="Calibri"/>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D3DC5F6" w:rsidR="007D1E76"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247C9DF7" w14:textId="77777777" w:rsidR="00735195" w:rsidRDefault="00735195" w:rsidP="00735195">
      <w:pPr>
        <w:spacing w:after="0" w:line="240" w:lineRule="auto"/>
        <w:jc w:val="both"/>
        <w:rPr>
          <w:rFonts w:cs="Calibri"/>
        </w:rPr>
      </w:pPr>
    </w:p>
    <w:p w14:paraId="411C2AEB" w14:textId="3AD1FA50" w:rsidR="00735195" w:rsidRDefault="00735195" w:rsidP="00735195">
      <w:pPr>
        <w:spacing w:after="0" w:line="240" w:lineRule="auto"/>
        <w:jc w:val="both"/>
        <w:rPr>
          <w:rFonts w:cs="Calibri"/>
        </w:rPr>
      </w:pPr>
      <w:r w:rsidRPr="00F07724">
        <w:rPr>
          <w:rFonts w:cs="Calibri"/>
        </w:rPr>
        <w:t>Organismo Público Descentralizado del orden Municipal de Celaya, de tamaño mediano que presta servicios culturales a la ciudadanía Celayense, con personalidad jurídica y patrimonio propio. Su capital está conformado por aportaciones presupuéstales, subsidios, donaciones y apoyos económicos que reciba de los Gobiernos Municipal, Estatal y Federal, así como de los organismos públicos y privados y de ingresos propios.</w:t>
      </w:r>
    </w:p>
    <w:p w14:paraId="10C4C64C" w14:textId="7830F84B" w:rsidR="007D1E76" w:rsidRDefault="007D1E76" w:rsidP="00CB41C4">
      <w:pPr>
        <w:tabs>
          <w:tab w:val="left" w:leader="underscore" w:pos="9639"/>
        </w:tabs>
        <w:spacing w:after="0" w:line="240" w:lineRule="auto"/>
        <w:jc w:val="both"/>
        <w:rPr>
          <w:rFonts w:cs="Calibri"/>
        </w:rPr>
      </w:pPr>
    </w:p>
    <w:p w14:paraId="09B24A36" w14:textId="77777777" w:rsidR="00735195" w:rsidRPr="00E74967" w:rsidRDefault="00735195"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735195" w:rsidRPr="00735195" w14:paraId="4268F987"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356D6FDB"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INSTITUTO MUNICIPAL DE ARTE Y CULTURA DE CELAYA</w:t>
            </w:r>
          </w:p>
        </w:tc>
      </w:tr>
      <w:tr w:rsidR="00735195" w:rsidRPr="00735195" w14:paraId="60BF6484"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50398922" w14:textId="6689319D" w:rsidR="00735195" w:rsidRPr="00735195" w:rsidRDefault="00735195" w:rsidP="00735195">
            <w:pPr>
              <w:spacing w:after="0" w:line="240" w:lineRule="auto"/>
              <w:rPr>
                <w:rFonts w:eastAsia="Times New Roman" w:cs="Calibri"/>
                <w:color w:val="000000"/>
                <w:lang w:eastAsia="es-MX"/>
              </w:rPr>
            </w:pPr>
            <w:r w:rsidRPr="00735195">
              <w:rPr>
                <w:rFonts w:eastAsia="Times New Roman" w:cs="Calibri"/>
                <w:noProof/>
                <w:color w:val="000000"/>
                <w:lang w:eastAsia="es-MX"/>
              </w:rPr>
              <w:drawing>
                <wp:anchor distT="0" distB="0" distL="114300" distR="114300" simplePos="0" relativeHeight="251659264" behindDoc="0" locked="0" layoutInCell="1" allowOverlap="1" wp14:anchorId="50AA6EE7" wp14:editId="43D892EC">
                  <wp:simplePos x="0" y="0"/>
                  <wp:positionH relativeFrom="column">
                    <wp:posOffset>57150</wp:posOffset>
                  </wp:positionH>
                  <wp:positionV relativeFrom="paragraph">
                    <wp:posOffset>38100</wp:posOffset>
                  </wp:positionV>
                  <wp:extent cx="962025" cy="29527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735195" w:rsidRPr="00735195" w14:paraId="48AB866A"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4A4EB611"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PRESUPUESTO 2019</w:t>
                  </w:r>
                </w:p>
              </w:tc>
            </w:tr>
          </w:tbl>
          <w:p w14:paraId="77505AFC" w14:textId="77777777" w:rsidR="00735195" w:rsidRPr="00735195" w:rsidRDefault="00735195" w:rsidP="00735195">
            <w:pPr>
              <w:spacing w:after="0" w:line="240" w:lineRule="auto"/>
              <w:rPr>
                <w:rFonts w:eastAsia="Times New Roman" w:cs="Calibri"/>
                <w:color w:val="000000"/>
                <w:lang w:eastAsia="es-MX"/>
              </w:rPr>
            </w:pPr>
          </w:p>
        </w:tc>
      </w:tr>
      <w:tr w:rsidR="00735195" w:rsidRPr="00735195" w14:paraId="4BCE81C8" w14:textId="77777777" w:rsidTr="00735195">
        <w:trPr>
          <w:trHeight w:val="315"/>
        </w:trPr>
        <w:tc>
          <w:tcPr>
            <w:tcW w:w="1016" w:type="dxa"/>
            <w:tcBorders>
              <w:top w:val="nil"/>
              <w:left w:val="nil"/>
              <w:bottom w:val="nil"/>
              <w:right w:val="nil"/>
            </w:tcBorders>
            <w:shd w:val="clear" w:color="auto" w:fill="auto"/>
            <w:noWrap/>
            <w:vAlign w:val="bottom"/>
            <w:hideMark/>
          </w:tcPr>
          <w:p w14:paraId="297FF63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D167DA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2DEE39B"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r>
      <w:tr w:rsidR="00735195" w:rsidRPr="00735195" w14:paraId="0EB32761"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4C55B2A4"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r w:rsidRPr="00735195">
              <w:rPr>
                <w:rFonts w:eastAsia="Times New Roman" w:cs="Calibri"/>
                <w:b/>
                <w:bCs/>
                <w:color w:val="000000"/>
                <w:sz w:val="24"/>
                <w:szCs w:val="24"/>
                <w:u w:val="single"/>
                <w:lang w:eastAsia="es-MX"/>
              </w:rPr>
              <w:t>RESUMEN INGRESOS - EGRESOS</w:t>
            </w:r>
          </w:p>
        </w:tc>
      </w:tr>
      <w:tr w:rsidR="00735195" w:rsidRPr="00735195" w14:paraId="5DA9ABA6" w14:textId="77777777" w:rsidTr="00735195">
        <w:trPr>
          <w:trHeight w:val="315"/>
        </w:trPr>
        <w:tc>
          <w:tcPr>
            <w:tcW w:w="1016" w:type="dxa"/>
            <w:tcBorders>
              <w:top w:val="nil"/>
              <w:left w:val="nil"/>
              <w:bottom w:val="nil"/>
              <w:right w:val="nil"/>
            </w:tcBorders>
            <w:shd w:val="clear" w:color="auto" w:fill="auto"/>
            <w:noWrap/>
            <w:vAlign w:val="bottom"/>
            <w:hideMark/>
          </w:tcPr>
          <w:p w14:paraId="09FA7A00"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6927099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9A803E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26ECF9BB" w14:textId="77777777" w:rsidTr="00735195">
        <w:trPr>
          <w:trHeight w:val="300"/>
        </w:trPr>
        <w:tc>
          <w:tcPr>
            <w:tcW w:w="1016" w:type="dxa"/>
            <w:tcBorders>
              <w:top w:val="nil"/>
              <w:left w:val="nil"/>
              <w:bottom w:val="nil"/>
              <w:right w:val="nil"/>
            </w:tcBorders>
            <w:shd w:val="clear" w:color="000000" w:fill="BFBFBF"/>
            <w:noWrap/>
            <w:vAlign w:val="center"/>
            <w:hideMark/>
          </w:tcPr>
          <w:p w14:paraId="512AE2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75322297"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1F65FECE"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PRESUPUESTO</w:t>
            </w:r>
          </w:p>
        </w:tc>
      </w:tr>
      <w:tr w:rsidR="00735195" w:rsidRPr="00735195" w14:paraId="70F32E73" w14:textId="77777777" w:rsidTr="00735195">
        <w:trPr>
          <w:trHeight w:val="405"/>
        </w:trPr>
        <w:tc>
          <w:tcPr>
            <w:tcW w:w="1016" w:type="dxa"/>
            <w:tcBorders>
              <w:top w:val="nil"/>
              <w:left w:val="nil"/>
              <w:bottom w:val="nil"/>
              <w:right w:val="nil"/>
            </w:tcBorders>
            <w:shd w:val="clear" w:color="000000" w:fill="BFBFBF"/>
            <w:noWrap/>
            <w:vAlign w:val="center"/>
            <w:hideMark/>
          </w:tcPr>
          <w:p w14:paraId="6C354D0D"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53D9EEEC" w14:textId="77777777" w:rsidR="00735195" w:rsidRPr="00735195" w:rsidRDefault="00735195" w:rsidP="00735195">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6AAFAFAB" w14:textId="77777777" w:rsidR="00735195" w:rsidRPr="00735195" w:rsidRDefault="00735195" w:rsidP="00735195">
            <w:pPr>
              <w:spacing w:after="0" w:line="240" w:lineRule="auto"/>
              <w:rPr>
                <w:rFonts w:eastAsia="Times New Roman" w:cs="Calibri"/>
                <w:b/>
                <w:bCs/>
                <w:color w:val="000000"/>
                <w:sz w:val="20"/>
                <w:szCs w:val="20"/>
                <w:lang w:eastAsia="es-MX"/>
              </w:rPr>
            </w:pPr>
          </w:p>
        </w:tc>
      </w:tr>
      <w:tr w:rsidR="00735195" w:rsidRPr="00735195" w14:paraId="4BD7555D" w14:textId="77777777" w:rsidTr="00735195">
        <w:trPr>
          <w:trHeight w:val="300"/>
        </w:trPr>
        <w:tc>
          <w:tcPr>
            <w:tcW w:w="1016" w:type="dxa"/>
            <w:tcBorders>
              <w:top w:val="nil"/>
              <w:left w:val="nil"/>
              <w:bottom w:val="nil"/>
              <w:right w:val="nil"/>
            </w:tcBorders>
            <w:shd w:val="clear" w:color="auto" w:fill="auto"/>
            <w:noWrap/>
            <w:vAlign w:val="bottom"/>
            <w:hideMark/>
          </w:tcPr>
          <w:p w14:paraId="3C49F13B" w14:textId="77777777" w:rsidR="00735195" w:rsidRPr="00735195" w:rsidRDefault="00735195" w:rsidP="00735195">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7BB83D3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661196E9"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5AA57AEB" w14:textId="77777777" w:rsidTr="00735195">
        <w:trPr>
          <w:trHeight w:val="300"/>
        </w:trPr>
        <w:tc>
          <w:tcPr>
            <w:tcW w:w="1016" w:type="dxa"/>
            <w:tcBorders>
              <w:top w:val="nil"/>
              <w:left w:val="nil"/>
              <w:bottom w:val="nil"/>
              <w:right w:val="nil"/>
            </w:tcBorders>
            <w:shd w:val="clear" w:color="auto" w:fill="auto"/>
            <w:noWrap/>
            <w:vAlign w:val="center"/>
            <w:hideMark/>
          </w:tcPr>
          <w:p w14:paraId="1EF2C0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61C188A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58A55B1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4,003,236.00</w:t>
            </w:r>
          </w:p>
        </w:tc>
      </w:tr>
      <w:tr w:rsidR="00735195" w:rsidRPr="00735195" w14:paraId="5D126976" w14:textId="77777777" w:rsidTr="00735195">
        <w:trPr>
          <w:trHeight w:val="510"/>
        </w:trPr>
        <w:tc>
          <w:tcPr>
            <w:tcW w:w="1016" w:type="dxa"/>
            <w:tcBorders>
              <w:top w:val="nil"/>
              <w:left w:val="nil"/>
              <w:bottom w:val="nil"/>
              <w:right w:val="nil"/>
            </w:tcBorders>
            <w:shd w:val="clear" w:color="auto" w:fill="auto"/>
            <w:noWrap/>
            <w:vAlign w:val="center"/>
            <w:hideMark/>
          </w:tcPr>
          <w:p w14:paraId="19696E3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7CB66D4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7D8B1E32"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4,770,000.00</w:t>
            </w:r>
          </w:p>
        </w:tc>
      </w:tr>
      <w:tr w:rsidR="00735195" w:rsidRPr="00735195" w14:paraId="537F96BC" w14:textId="77777777" w:rsidTr="00735195">
        <w:trPr>
          <w:trHeight w:val="510"/>
        </w:trPr>
        <w:tc>
          <w:tcPr>
            <w:tcW w:w="1016" w:type="dxa"/>
            <w:tcBorders>
              <w:top w:val="nil"/>
              <w:left w:val="nil"/>
              <w:bottom w:val="nil"/>
              <w:right w:val="nil"/>
            </w:tcBorders>
            <w:shd w:val="clear" w:color="auto" w:fill="auto"/>
            <w:noWrap/>
            <w:vAlign w:val="center"/>
            <w:hideMark/>
          </w:tcPr>
          <w:p w14:paraId="2664B31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0037C11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75F8591D"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29,101,555.00</w:t>
            </w:r>
          </w:p>
        </w:tc>
      </w:tr>
      <w:tr w:rsidR="00735195" w:rsidRPr="00735195" w14:paraId="7EF211A5" w14:textId="77777777" w:rsidTr="00735195">
        <w:trPr>
          <w:trHeight w:val="300"/>
        </w:trPr>
        <w:tc>
          <w:tcPr>
            <w:tcW w:w="1016" w:type="dxa"/>
            <w:tcBorders>
              <w:top w:val="nil"/>
              <w:left w:val="nil"/>
              <w:bottom w:val="nil"/>
              <w:right w:val="nil"/>
            </w:tcBorders>
            <w:shd w:val="clear" w:color="auto" w:fill="auto"/>
            <w:noWrap/>
            <w:vAlign w:val="center"/>
            <w:hideMark/>
          </w:tcPr>
          <w:p w14:paraId="60C6936B"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vAlign w:val="center"/>
            <w:hideMark/>
          </w:tcPr>
          <w:p w14:paraId="3D126A0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OTROS  INGRESOS Y BENEFICIOS VARIOS</w:t>
            </w:r>
          </w:p>
        </w:tc>
        <w:tc>
          <w:tcPr>
            <w:tcW w:w="2174" w:type="dxa"/>
            <w:tcBorders>
              <w:top w:val="nil"/>
              <w:left w:val="nil"/>
              <w:bottom w:val="nil"/>
              <w:right w:val="nil"/>
            </w:tcBorders>
            <w:shd w:val="clear" w:color="auto" w:fill="auto"/>
            <w:noWrap/>
            <w:vAlign w:val="center"/>
            <w:hideMark/>
          </w:tcPr>
          <w:p w14:paraId="0679850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225,000.00</w:t>
            </w:r>
          </w:p>
        </w:tc>
      </w:tr>
      <w:tr w:rsidR="00735195" w:rsidRPr="00735195" w14:paraId="7844077A" w14:textId="77777777" w:rsidTr="00735195">
        <w:trPr>
          <w:trHeight w:val="300"/>
        </w:trPr>
        <w:tc>
          <w:tcPr>
            <w:tcW w:w="1016" w:type="dxa"/>
            <w:tcBorders>
              <w:top w:val="nil"/>
              <w:left w:val="nil"/>
              <w:bottom w:val="nil"/>
              <w:right w:val="nil"/>
            </w:tcBorders>
            <w:shd w:val="clear" w:color="auto" w:fill="auto"/>
            <w:noWrap/>
            <w:vAlign w:val="bottom"/>
            <w:hideMark/>
          </w:tcPr>
          <w:p w14:paraId="279BE38D"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2754E66"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94D5F0C"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1DB2E270" w14:textId="77777777" w:rsidTr="00735195">
        <w:trPr>
          <w:trHeight w:val="315"/>
        </w:trPr>
        <w:tc>
          <w:tcPr>
            <w:tcW w:w="1016" w:type="dxa"/>
            <w:tcBorders>
              <w:top w:val="nil"/>
              <w:left w:val="nil"/>
              <w:bottom w:val="nil"/>
              <w:right w:val="nil"/>
            </w:tcBorders>
            <w:shd w:val="clear" w:color="auto" w:fill="auto"/>
            <w:noWrap/>
            <w:vAlign w:val="bottom"/>
            <w:hideMark/>
          </w:tcPr>
          <w:p w14:paraId="64DFD565"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A0A6A1D"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7C95E659"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50AE8328" w14:textId="77777777" w:rsidTr="00735195">
        <w:trPr>
          <w:trHeight w:val="300"/>
        </w:trPr>
        <w:tc>
          <w:tcPr>
            <w:tcW w:w="1016" w:type="dxa"/>
            <w:tcBorders>
              <w:top w:val="nil"/>
              <w:left w:val="nil"/>
              <w:bottom w:val="nil"/>
              <w:right w:val="nil"/>
            </w:tcBorders>
            <w:shd w:val="clear" w:color="auto" w:fill="auto"/>
            <w:noWrap/>
            <w:vAlign w:val="bottom"/>
            <w:hideMark/>
          </w:tcPr>
          <w:p w14:paraId="72A5B122"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59896C5F"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80F5EA5"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8B426FB" w14:textId="77777777" w:rsidTr="00735195">
        <w:trPr>
          <w:trHeight w:val="300"/>
        </w:trPr>
        <w:tc>
          <w:tcPr>
            <w:tcW w:w="1016" w:type="dxa"/>
            <w:tcBorders>
              <w:top w:val="nil"/>
              <w:left w:val="nil"/>
              <w:bottom w:val="nil"/>
              <w:right w:val="nil"/>
            </w:tcBorders>
            <w:shd w:val="clear" w:color="auto" w:fill="auto"/>
            <w:noWrap/>
            <w:vAlign w:val="bottom"/>
            <w:hideMark/>
          </w:tcPr>
          <w:p w14:paraId="51EA7D9B"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BE1889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642B8B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6ABF898" w14:textId="77777777" w:rsidTr="00735195">
        <w:trPr>
          <w:trHeight w:val="300"/>
        </w:trPr>
        <w:tc>
          <w:tcPr>
            <w:tcW w:w="1016" w:type="dxa"/>
            <w:tcBorders>
              <w:top w:val="nil"/>
              <w:left w:val="nil"/>
              <w:bottom w:val="nil"/>
              <w:right w:val="nil"/>
            </w:tcBorders>
            <w:shd w:val="clear" w:color="auto" w:fill="auto"/>
            <w:noWrap/>
            <w:vAlign w:val="bottom"/>
            <w:hideMark/>
          </w:tcPr>
          <w:p w14:paraId="42484C5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AA67C2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FF6B5DF"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C2AE370" w14:textId="77777777" w:rsidTr="00735195">
        <w:trPr>
          <w:trHeight w:val="300"/>
        </w:trPr>
        <w:tc>
          <w:tcPr>
            <w:tcW w:w="1016" w:type="dxa"/>
            <w:tcBorders>
              <w:top w:val="nil"/>
              <w:left w:val="nil"/>
              <w:bottom w:val="nil"/>
              <w:right w:val="nil"/>
            </w:tcBorders>
            <w:shd w:val="clear" w:color="auto" w:fill="auto"/>
            <w:noWrap/>
            <w:vAlign w:val="bottom"/>
            <w:hideMark/>
          </w:tcPr>
          <w:p w14:paraId="0E6C84C3"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42DE063"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1F0634F8"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20,300,593.21</w:t>
            </w:r>
          </w:p>
        </w:tc>
      </w:tr>
      <w:tr w:rsidR="00735195" w:rsidRPr="00735195" w14:paraId="625A57AD" w14:textId="77777777" w:rsidTr="00735195">
        <w:trPr>
          <w:trHeight w:val="300"/>
        </w:trPr>
        <w:tc>
          <w:tcPr>
            <w:tcW w:w="1016" w:type="dxa"/>
            <w:tcBorders>
              <w:top w:val="nil"/>
              <w:left w:val="nil"/>
              <w:bottom w:val="nil"/>
              <w:right w:val="nil"/>
            </w:tcBorders>
            <w:shd w:val="clear" w:color="auto" w:fill="auto"/>
            <w:noWrap/>
            <w:vAlign w:val="bottom"/>
            <w:hideMark/>
          </w:tcPr>
          <w:p w14:paraId="2464154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2E90491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7050AF19"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1,496,262.00</w:t>
            </w:r>
          </w:p>
        </w:tc>
      </w:tr>
      <w:tr w:rsidR="00735195" w:rsidRPr="00735195" w14:paraId="6955BE10" w14:textId="77777777" w:rsidTr="00735195">
        <w:trPr>
          <w:trHeight w:val="300"/>
        </w:trPr>
        <w:tc>
          <w:tcPr>
            <w:tcW w:w="1016" w:type="dxa"/>
            <w:tcBorders>
              <w:top w:val="nil"/>
              <w:left w:val="nil"/>
              <w:bottom w:val="nil"/>
              <w:right w:val="nil"/>
            </w:tcBorders>
            <w:shd w:val="clear" w:color="auto" w:fill="auto"/>
            <w:noWrap/>
            <w:vAlign w:val="bottom"/>
            <w:hideMark/>
          </w:tcPr>
          <w:p w14:paraId="3EE282F5"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12C6B53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6C21D78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16,037,935.79</w:t>
            </w:r>
          </w:p>
        </w:tc>
      </w:tr>
      <w:tr w:rsidR="00735195" w:rsidRPr="00735195" w14:paraId="15D76AC7" w14:textId="77777777" w:rsidTr="00735195">
        <w:trPr>
          <w:trHeight w:val="300"/>
        </w:trPr>
        <w:tc>
          <w:tcPr>
            <w:tcW w:w="1016" w:type="dxa"/>
            <w:tcBorders>
              <w:top w:val="nil"/>
              <w:left w:val="nil"/>
              <w:bottom w:val="nil"/>
              <w:right w:val="nil"/>
            </w:tcBorders>
            <w:shd w:val="clear" w:color="auto" w:fill="auto"/>
            <w:noWrap/>
            <w:vAlign w:val="bottom"/>
            <w:hideMark/>
          </w:tcPr>
          <w:p w14:paraId="196967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7BA9AF6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37BAD70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250,000.00</w:t>
            </w:r>
          </w:p>
        </w:tc>
      </w:tr>
      <w:tr w:rsidR="00735195" w:rsidRPr="00735195" w14:paraId="60A0E206" w14:textId="77777777" w:rsidTr="00735195">
        <w:trPr>
          <w:trHeight w:val="300"/>
        </w:trPr>
        <w:tc>
          <w:tcPr>
            <w:tcW w:w="1016" w:type="dxa"/>
            <w:tcBorders>
              <w:top w:val="nil"/>
              <w:left w:val="nil"/>
              <w:bottom w:val="nil"/>
              <w:right w:val="nil"/>
            </w:tcBorders>
            <w:shd w:val="clear" w:color="auto" w:fill="auto"/>
            <w:noWrap/>
            <w:vAlign w:val="bottom"/>
            <w:hideMark/>
          </w:tcPr>
          <w:p w14:paraId="042822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12B59497"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5B121AF4"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15,000.00</w:t>
            </w:r>
          </w:p>
        </w:tc>
      </w:tr>
      <w:tr w:rsidR="00735195" w:rsidRPr="00735195" w14:paraId="7BBC0D6B" w14:textId="77777777" w:rsidTr="00735195">
        <w:trPr>
          <w:trHeight w:val="300"/>
        </w:trPr>
        <w:tc>
          <w:tcPr>
            <w:tcW w:w="1016" w:type="dxa"/>
            <w:tcBorders>
              <w:top w:val="nil"/>
              <w:left w:val="nil"/>
              <w:bottom w:val="nil"/>
              <w:right w:val="nil"/>
            </w:tcBorders>
            <w:shd w:val="clear" w:color="auto" w:fill="auto"/>
            <w:noWrap/>
            <w:vAlign w:val="bottom"/>
            <w:hideMark/>
          </w:tcPr>
          <w:p w14:paraId="170BE2CA"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3E08145C"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701D10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3DD82C5" w14:textId="77777777" w:rsidTr="00735195">
        <w:trPr>
          <w:trHeight w:val="315"/>
        </w:trPr>
        <w:tc>
          <w:tcPr>
            <w:tcW w:w="1016" w:type="dxa"/>
            <w:tcBorders>
              <w:top w:val="nil"/>
              <w:left w:val="nil"/>
              <w:bottom w:val="nil"/>
              <w:right w:val="nil"/>
            </w:tcBorders>
            <w:shd w:val="clear" w:color="auto" w:fill="auto"/>
            <w:noWrap/>
            <w:vAlign w:val="bottom"/>
            <w:hideMark/>
          </w:tcPr>
          <w:p w14:paraId="785BBDF3"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2930BAF"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0E3434E2"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4D83E978" w14:textId="77777777" w:rsidTr="00735195">
        <w:trPr>
          <w:trHeight w:val="300"/>
        </w:trPr>
        <w:tc>
          <w:tcPr>
            <w:tcW w:w="1016" w:type="dxa"/>
            <w:tcBorders>
              <w:top w:val="nil"/>
              <w:left w:val="nil"/>
              <w:bottom w:val="nil"/>
              <w:right w:val="nil"/>
            </w:tcBorders>
            <w:shd w:val="clear" w:color="auto" w:fill="auto"/>
            <w:noWrap/>
            <w:vAlign w:val="bottom"/>
            <w:hideMark/>
          </w:tcPr>
          <w:p w14:paraId="63EE69AD"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4C58EED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ACF4B2E"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bl>
    <w:p w14:paraId="67F80FDF" w14:textId="154119DF" w:rsidR="007D1E76" w:rsidRDefault="007D1E76" w:rsidP="00CB41C4">
      <w:pPr>
        <w:tabs>
          <w:tab w:val="left" w:leader="underscore" w:pos="9639"/>
        </w:tabs>
        <w:spacing w:after="0" w:line="240" w:lineRule="auto"/>
        <w:jc w:val="both"/>
        <w:rPr>
          <w:rFonts w:cs="Calibri"/>
        </w:rPr>
      </w:pPr>
    </w:p>
    <w:p w14:paraId="7D8A3CED" w14:textId="44F793AF" w:rsidR="00735195" w:rsidRDefault="00735195"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B517A2" w:rsidRPr="00B517A2" w14:paraId="3E44E84C"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2233F4D9" w14:textId="77777777" w:rsidR="00B517A2" w:rsidRPr="00B517A2" w:rsidRDefault="00B517A2" w:rsidP="00B517A2">
            <w:pPr>
              <w:spacing w:after="0" w:line="240" w:lineRule="auto"/>
              <w:jc w:val="center"/>
              <w:rPr>
                <w:rFonts w:eastAsia="Times New Roman" w:cs="Calibri"/>
                <w:b/>
                <w:bCs/>
                <w:color w:val="000000"/>
                <w:sz w:val="24"/>
                <w:szCs w:val="24"/>
                <w:lang w:eastAsia="es-MX"/>
              </w:rPr>
            </w:pPr>
            <w:r w:rsidRPr="00B517A2">
              <w:rPr>
                <w:rFonts w:eastAsia="Times New Roman" w:cs="Calibri"/>
                <w:b/>
                <w:bCs/>
                <w:color w:val="000000"/>
                <w:sz w:val="24"/>
                <w:szCs w:val="24"/>
                <w:lang w:eastAsia="es-MX"/>
              </w:rPr>
              <w:t>INSTITUTO MUNICIPAL DE ARTE Y CULTURA DE CELAYA</w:t>
            </w:r>
          </w:p>
        </w:tc>
      </w:tr>
      <w:tr w:rsidR="00B517A2" w:rsidRPr="00B517A2" w14:paraId="0FC82911"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74907FAD" w14:textId="537D5658" w:rsidR="00B517A2" w:rsidRPr="00B517A2" w:rsidRDefault="00B517A2" w:rsidP="00B517A2">
            <w:pPr>
              <w:spacing w:after="0" w:line="240" w:lineRule="auto"/>
              <w:rPr>
                <w:rFonts w:eastAsia="Times New Roman" w:cs="Calibri"/>
                <w:color w:val="000000"/>
                <w:lang w:eastAsia="es-MX"/>
              </w:rPr>
            </w:pPr>
            <w:r w:rsidRPr="00B517A2">
              <w:rPr>
                <w:rFonts w:eastAsia="Times New Roman" w:cs="Calibri"/>
                <w:noProof/>
                <w:color w:val="000000"/>
                <w:lang w:eastAsia="es-MX"/>
              </w:rPr>
              <w:drawing>
                <wp:anchor distT="0" distB="0" distL="114300" distR="114300" simplePos="0" relativeHeight="251661312" behindDoc="0" locked="0" layoutInCell="1" allowOverlap="1" wp14:anchorId="7985EF22" wp14:editId="59E8CFEB">
                  <wp:simplePos x="0" y="0"/>
                  <wp:positionH relativeFrom="column">
                    <wp:posOffset>57150</wp:posOffset>
                  </wp:positionH>
                  <wp:positionV relativeFrom="paragraph">
                    <wp:posOffset>38100</wp:posOffset>
                  </wp:positionV>
                  <wp:extent cx="962025" cy="295275"/>
                  <wp:effectExtent l="0" t="0" r="0" b="9525"/>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B517A2" w:rsidRPr="00B517A2" w14:paraId="327261A9"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667F0868" w14:textId="77777777" w:rsidR="00B517A2" w:rsidRPr="00B517A2" w:rsidRDefault="00B517A2" w:rsidP="00B517A2">
                  <w:pPr>
                    <w:spacing w:after="0" w:line="240" w:lineRule="auto"/>
                    <w:jc w:val="center"/>
                    <w:rPr>
                      <w:rFonts w:eastAsia="Times New Roman" w:cs="Calibri"/>
                      <w:b/>
                      <w:bCs/>
                      <w:color w:val="000000"/>
                      <w:sz w:val="24"/>
                      <w:szCs w:val="24"/>
                      <w:lang w:eastAsia="es-MX"/>
                    </w:rPr>
                  </w:pPr>
                  <w:r w:rsidRPr="00B517A2">
                    <w:rPr>
                      <w:rFonts w:eastAsia="Times New Roman" w:cs="Calibri"/>
                      <w:b/>
                      <w:bCs/>
                      <w:color w:val="000000"/>
                      <w:sz w:val="24"/>
                      <w:szCs w:val="24"/>
                      <w:lang w:eastAsia="es-MX"/>
                    </w:rPr>
                    <w:t>PRIMERA MODIFICACIÓN PRESUPUESTAL 2019</w:t>
                  </w:r>
                </w:p>
              </w:tc>
            </w:tr>
          </w:tbl>
          <w:p w14:paraId="69196F1A" w14:textId="77777777" w:rsidR="00B517A2" w:rsidRPr="00B517A2" w:rsidRDefault="00B517A2" w:rsidP="00B517A2">
            <w:pPr>
              <w:spacing w:after="0" w:line="240" w:lineRule="auto"/>
              <w:rPr>
                <w:rFonts w:eastAsia="Times New Roman" w:cs="Calibri"/>
                <w:color w:val="000000"/>
                <w:lang w:eastAsia="es-MX"/>
              </w:rPr>
            </w:pPr>
          </w:p>
        </w:tc>
      </w:tr>
      <w:tr w:rsidR="00B517A2" w:rsidRPr="00B517A2" w14:paraId="26A65B79" w14:textId="77777777" w:rsidTr="00B517A2">
        <w:trPr>
          <w:trHeight w:val="315"/>
        </w:trPr>
        <w:tc>
          <w:tcPr>
            <w:tcW w:w="1016" w:type="dxa"/>
            <w:tcBorders>
              <w:top w:val="nil"/>
              <w:left w:val="nil"/>
              <w:bottom w:val="nil"/>
              <w:right w:val="nil"/>
            </w:tcBorders>
            <w:shd w:val="clear" w:color="auto" w:fill="auto"/>
            <w:noWrap/>
            <w:vAlign w:val="bottom"/>
            <w:hideMark/>
          </w:tcPr>
          <w:p w14:paraId="0CDC24E1"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747F8BF3"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C28DCAA"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r>
      <w:tr w:rsidR="00B517A2" w:rsidRPr="00B517A2" w14:paraId="19C95055" w14:textId="77777777" w:rsidTr="00B517A2">
        <w:trPr>
          <w:trHeight w:val="315"/>
        </w:trPr>
        <w:tc>
          <w:tcPr>
            <w:tcW w:w="8816" w:type="dxa"/>
            <w:gridSpan w:val="3"/>
            <w:tcBorders>
              <w:top w:val="nil"/>
              <w:left w:val="nil"/>
              <w:bottom w:val="nil"/>
              <w:right w:val="nil"/>
            </w:tcBorders>
            <w:shd w:val="clear" w:color="auto" w:fill="auto"/>
            <w:noWrap/>
            <w:vAlign w:val="bottom"/>
            <w:hideMark/>
          </w:tcPr>
          <w:p w14:paraId="570FF225" w14:textId="77777777" w:rsidR="00B517A2" w:rsidRPr="00B517A2" w:rsidRDefault="00B517A2" w:rsidP="00B517A2">
            <w:pPr>
              <w:spacing w:after="0" w:line="240" w:lineRule="auto"/>
              <w:jc w:val="center"/>
              <w:rPr>
                <w:rFonts w:eastAsia="Times New Roman" w:cs="Calibri"/>
                <w:b/>
                <w:bCs/>
                <w:color w:val="000000"/>
                <w:sz w:val="24"/>
                <w:szCs w:val="24"/>
                <w:u w:val="single"/>
                <w:lang w:eastAsia="es-MX"/>
              </w:rPr>
            </w:pPr>
            <w:r w:rsidRPr="00B517A2">
              <w:rPr>
                <w:rFonts w:eastAsia="Times New Roman" w:cs="Calibri"/>
                <w:b/>
                <w:bCs/>
                <w:color w:val="000000"/>
                <w:sz w:val="24"/>
                <w:szCs w:val="24"/>
                <w:u w:val="single"/>
                <w:lang w:eastAsia="es-MX"/>
              </w:rPr>
              <w:t>RESUMEN INGRESOS - EGRESOS</w:t>
            </w:r>
          </w:p>
        </w:tc>
      </w:tr>
      <w:tr w:rsidR="00B517A2" w:rsidRPr="00B517A2" w14:paraId="565FC7A5" w14:textId="77777777" w:rsidTr="00B517A2">
        <w:trPr>
          <w:trHeight w:val="315"/>
        </w:trPr>
        <w:tc>
          <w:tcPr>
            <w:tcW w:w="1016" w:type="dxa"/>
            <w:tcBorders>
              <w:top w:val="nil"/>
              <w:left w:val="nil"/>
              <w:bottom w:val="nil"/>
              <w:right w:val="nil"/>
            </w:tcBorders>
            <w:shd w:val="clear" w:color="auto" w:fill="auto"/>
            <w:noWrap/>
            <w:vAlign w:val="bottom"/>
            <w:hideMark/>
          </w:tcPr>
          <w:p w14:paraId="5B1B8D04" w14:textId="77777777" w:rsidR="00B517A2" w:rsidRPr="00B517A2" w:rsidRDefault="00B517A2" w:rsidP="00B517A2">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4AFDBEE0"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3906AD9"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DA6F1E1" w14:textId="77777777" w:rsidTr="00B517A2">
        <w:trPr>
          <w:trHeight w:val="300"/>
        </w:trPr>
        <w:tc>
          <w:tcPr>
            <w:tcW w:w="1016" w:type="dxa"/>
            <w:tcBorders>
              <w:top w:val="nil"/>
              <w:left w:val="nil"/>
              <w:bottom w:val="nil"/>
              <w:right w:val="nil"/>
            </w:tcBorders>
            <w:shd w:val="clear" w:color="000000" w:fill="BFBFBF"/>
            <w:noWrap/>
            <w:vAlign w:val="center"/>
            <w:hideMark/>
          </w:tcPr>
          <w:p w14:paraId="337AE35A"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0C70C87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5DC65B3C"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PRESUPUESTO</w:t>
            </w:r>
          </w:p>
        </w:tc>
      </w:tr>
      <w:tr w:rsidR="00B517A2" w:rsidRPr="00B517A2" w14:paraId="4C80601F" w14:textId="77777777" w:rsidTr="00B517A2">
        <w:trPr>
          <w:trHeight w:val="405"/>
        </w:trPr>
        <w:tc>
          <w:tcPr>
            <w:tcW w:w="1016" w:type="dxa"/>
            <w:tcBorders>
              <w:top w:val="nil"/>
              <w:left w:val="nil"/>
              <w:bottom w:val="nil"/>
              <w:right w:val="nil"/>
            </w:tcBorders>
            <w:shd w:val="clear" w:color="000000" w:fill="BFBFBF"/>
            <w:noWrap/>
            <w:vAlign w:val="center"/>
            <w:hideMark/>
          </w:tcPr>
          <w:p w14:paraId="2899F97D"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36050574" w14:textId="77777777" w:rsidR="00B517A2" w:rsidRPr="00B517A2" w:rsidRDefault="00B517A2" w:rsidP="00B517A2">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79AF1332" w14:textId="77777777" w:rsidR="00B517A2" w:rsidRPr="00B517A2" w:rsidRDefault="00B517A2" w:rsidP="00B517A2">
            <w:pPr>
              <w:spacing w:after="0" w:line="240" w:lineRule="auto"/>
              <w:rPr>
                <w:rFonts w:eastAsia="Times New Roman" w:cs="Calibri"/>
                <w:b/>
                <w:bCs/>
                <w:color w:val="000000"/>
                <w:sz w:val="20"/>
                <w:szCs w:val="20"/>
                <w:lang w:eastAsia="es-MX"/>
              </w:rPr>
            </w:pPr>
          </w:p>
        </w:tc>
      </w:tr>
      <w:tr w:rsidR="00B517A2" w:rsidRPr="00B517A2" w14:paraId="1C014ED1" w14:textId="77777777" w:rsidTr="00B517A2">
        <w:trPr>
          <w:trHeight w:val="300"/>
        </w:trPr>
        <w:tc>
          <w:tcPr>
            <w:tcW w:w="1016" w:type="dxa"/>
            <w:tcBorders>
              <w:top w:val="nil"/>
              <w:left w:val="nil"/>
              <w:bottom w:val="nil"/>
              <w:right w:val="nil"/>
            </w:tcBorders>
            <w:shd w:val="clear" w:color="auto" w:fill="auto"/>
            <w:noWrap/>
            <w:vAlign w:val="bottom"/>
            <w:hideMark/>
          </w:tcPr>
          <w:p w14:paraId="73F461F2" w14:textId="77777777" w:rsidR="00B517A2" w:rsidRPr="00B517A2" w:rsidRDefault="00B517A2" w:rsidP="00B517A2">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015E7535"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1FC32223"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5BEC32AD" w14:textId="77777777" w:rsidTr="00B517A2">
        <w:trPr>
          <w:trHeight w:val="300"/>
        </w:trPr>
        <w:tc>
          <w:tcPr>
            <w:tcW w:w="1016" w:type="dxa"/>
            <w:tcBorders>
              <w:top w:val="nil"/>
              <w:left w:val="nil"/>
              <w:bottom w:val="nil"/>
              <w:right w:val="nil"/>
            </w:tcBorders>
            <w:shd w:val="clear" w:color="auto" w:fill="auto"/>
            <w:noWrap/>
            <w:vAlign w:val="center"/>
            <w:hideMark/>
          </w:tcPr>
          <w:p w14:paraId="79396C72"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vAlign w:val="center"/>
            <w:hideMark/>
          </w:tcPr>
          <w:p w14:paraId="2B0242AB"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REMANENTE 2018</w:t>
            </w:r>
          </w:p>
        </w:tc>
        <w:tc>
          <w:tcPr>
            <w:tcW w:w="2174" w:type="dxa"/>
            <w:tcBorders>
              <w:top w:val="nil"/>
              <w:left w:val="nil"/>
              <w:bottom w:val="nil"/>
              <w:right w:val="nil"/>
            </w:tcBorders>
            <w:shd w:val="clear" w:color="auto" w:fill="auto"/>
            <w:noWrap/>
            <w:vAlign w:val="center"/>
            <w:hideMark/>
          </w:tcPr>
          <w:p w14:paraId="10C475E9"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733,284.92</w:t>
            </w:r>
          </w:p>
        </w:tc>
      </w:tr>
      <w:tr w:rsidR="00B517A2" w:rsidRPr="00B517A2" w14:paraId="49FAC350" w14:textId="77777777" w:rsidTr="00B517A2">
        <w:trPr>
          <w:trHeight w:val="300"/>
        </w:trPr>
        <w:tc>
          <w:tcPr>
            <w:tcW w:w="1016" w:type="dxa"/>
            <w:tcBorders>
              <w:top w:val="nil"/>
              <w:left w:val="nil"/>
              <w:bottom w:val="nil"/>
              <w:right w:val="nil"/>
            </w:tcBorders>
            <w:shd w:val="clear" w:color="auto" w:fill="auto"/>
            <w:noWrap/>
            <w:vAlign w:val="center"/>
            <w:hideMark/>
          </w:tcPr>
          <w:p w14:paraId="0F60F82F"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161DD4AE"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1174D421"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4,191,836.00</w:t>
            </w:r>
          </w:p>
        </w:tc>
      </w:tr>
      <w:tr w:rsidR="00B517A2" w:rsidRPr="00B517A2" w14:paraId="6149C827" w14:textId="77777777" w:rsidTr="00B517A2">
        <w:trPr>
          <w:trHeight w:val="510"/>
        </w:trPr>
        <w:tc>
          <w:tcPr>
            <w:tcW w:w="1016" w:type="dxa"/>
            <w:tcBorders>
              <w:top w:val="nil"/>
              <w:left w:val="nil"/>
              <w:bottom w:val="nil"/>
              <w:right w:val="nil"/>
            </w:tcBorders>
            <w:shd w:val="clear" w:color="auto" w:fill="auto"/>
            <w:noWrap/>
            <w:vAlign w:val="center"/>
            <w:hideMark/>
          </w:tcPr>
          <w:p w14:paraId="3423BF49"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5A6E2A96"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4F6498E1"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4,945,000.00</w:t>
            </w:r>
          </w:p>
        </w:tc>
      </w:tr>
      <w:tr w:rsidR="00B517A2" w:rsidRPr="00B517A2" w14:paraId="1C3C7084" w14:textId="77777777" w:rsidTr="00B517A2">
        <w:trPr>
          <w:trHeight w:val="510"/>
        </w:trPr>
        <w:tc>
          <w:tcPr>
            <w:tcW w:w="1016" w:type="dxa"/>
            <w:tcBorders>
              <w:top w:val="nil"/>
              <w:left w:val="nil"/>
              <w:bottom w:val="nil"/>
              <w:right w:val="nil"/>
            </w:tcBorders>
            <w:shd w:val="clear" w:color="auto" w:fill="auto"/>
            <w:noWrap/>
            <w:vAlign w:val="center"/>
            <w:hideMark/>
          </w:tcPr>
          <w:p w14:paraId="669066E5"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4CC83A27"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386BD7A4"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29,101,555.00</w:t>
            </w:r>
          </w:p>
        </w:tc>
      </w:tr>
      <w:tr w:rsidR="00B517A2" w:rsidRPr="00B517A2" w14:paraId="11165C59" w14:textId="77777777" w:rsidTr="00B517A2">
        <w:trPr>
          <w:trHeight w:val="300"/>
        </w:trPr>
        <w:tc>
          <w:tcPr>
            <w:tcW w:w="1016" w:type="dxa"/>
            <w:tcBorders>
              <w:top w:val="nil"/>
              <w:left w:val="nil"/>
              <w:bottom w:val="nil"/>
              <w:right w:val="nil"/>
            </w:tcBorders>
            <w:shd w:val="clear" w:color="auto" w:fill="auto"/>
            <w:noWrap/>
            <w:vAlign w:val="bottom"/>
            <w:hideMark/>
          </w:tcPr>
          <w:p w14:paraId="55B54BCC" w14:textId="77777777" w:rsidR="00B517A2" w:rsidRPr="00B517A2" w:rsidRDefault="00B517A2" w:rsidP="00B517A2">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729B4C4"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6088D03"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49A77E36" w14:textId="77777777" w:rsidTr="00B517A2">
        <w:trPr>
          <w:trHeight w:val="315"/>
        </w:trPr>
        <w:tc>
          <w:tcPr>
            <w:tcW w:w="1016" w:type="dxa"/>
            <w:tcBorders>
              <w:top w:val="nil"/>
              <w:left w:val="nil"/>
              <w:bottom w:val="nil"/>
              <w:right w:val="nil"/>
            </w:tcBorders>
            <w:shd w:val="clear" w:color="auto" w:fill="auto"/>
            <w:noWrap/>
            <w:vAlign w:val="bottom"/>
            <w:hideMark/>
          </w:tcPr>
          <w:p w14:paraId="21E174E9"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614ED96C" w14:textId="77777777" w:rsidR="00B517A2" w:rsidRPr="00B517A2" w:rsidRDefault="00B517A2" w:rsidP="00B517A2">
            <w:pPr>
              <w:spacing w:after="0" w:line="240" w:lineRule="auto"/>
              <w:rPr>
                <w:rFonts w:eastAsia="Times New Roman" w:cs="Calibri"/>
                <w:b/>
                <w:bCs/>
                <w:color w:val="000000"/>
                <w:sz w:val="24"/>
                <w:szCs w:val="24"/>
                <w:lang w:eastAsia="es-MX"/>
              </w:rPr>
            </w:pPr>
            <w:r w:rsidRPr="00B517A2">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28F7E8B7" w14:textId="77777777" w:rsidR="00B517A2" w:rsidRPr="00B517A2" w:rsidRDefault="00B517A2" w:rsidP="00B517A2">
            <w:pPr>
              <w:spacing w:after="0" w:line="240" w:lineRule="auto"/>
              <w:jc w:val="right"/>
              <w:rPr>
                <w:rFonts w:eastAsia="Times New Roman" w:cs="Calibri"/>
                <w:b/>
                <w:bCs/>
                <w:color w:val="000000"/>
                <w:sz w:val="24"/>
                <w:szCs w:val="24"/>
                <w:lang w:eastAsia="es-MX"/>
              </w:rPr>
            </w:pPr>
            <w:r w:rsidRPr="00B517A2">
              <w:rPr>
                <w:rFonts w:eastAsia="Times New Roman" w:cs="Calibri"/>
                <w:b/>
                <w:bCs/>
                <w:color w:val="000000"/>
                <w:sz w:val="24"/>
                <w:szCs w:val="24"/>
                <w:lang w:eastAsia="es-MX"/>
              </w:rPr>
              <w:t xml:space="preserve">38,971,675.92 </w:t>
            </w:r>
          </w:p>
        </w:tc>
      </w:tr>
      <w:tr w:rsidR="00B517A2" w:rsidRPr="00B517A2" w14:paraId="3E8D9D4F" w14:textId="77777777" w:rsidTr="00B517A2">
        <w:trPr>
          <w:trHeight w:val="300"/>
        </w:trPr>
        <w:tc>
          <w:tcPr>
            <w:tcW w:w="1016" w:type="dxa"/>
            <w:tcBorders>
              <w:top w:val="nil"/>
              <w:left w:val="nil"/>
              <w:bottom w:val="nil"/>
              <w:right w:val="nil"/>
            </w:tcBorders>
            <w:shd w:val="clear" w:color="auto" w:fill="auto"/>
            <w:noWrap/>
            <w:vAlign w:val="bottom"/>
            <w:hideMark/>
          </w:tcPr>
          <w:p w14:paraId="39A1AD44" w14:textId="77777777" w:rsidR="00B517A2" w:rsidRPr="00B517A2" w:rsidRDefault="00B517A2" w:rsidP="00B517A2">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0A80E6C5"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E21B79C"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2FD778A" w14:textId="77777777" w:rsidTr="00B517A2">
        <w:trPr>
          <w:trHeight w:val="300"/>
        </w:trPr>
        <w:tc>
          <w:tcPr>
            <w:tcW w:w="1016" w:type="dxa"/>
            <w:tcBorders>
              <w:top w:val="nil"/>
              <w:left w:val="nil"/>
              <w:bottom w:val="nil"/>
              <w:right w:val="nil"/>
            </w:tcBorders>
            <w:shd w:val="clear" w:color="auto" w:fill="auto"/>
            <w:noWrap/>
            <w:vAlign w:val="bottom"/>
            <w:hideMark/>
          </w:tcPr>
          <w:p w14:paraId="59D8BE08"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AFF2D0B"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A6FEDAA"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7465A7C" w14:textId="77777777" w:rsidTr="00B517A2">
        <w:trPr>
          <w:trHeight w:val="300"/>
        </w:trPr>
        <w:tc>
          <w:tcPr>
            <w:tcW w:w="1016" w:type="dxa"/>
            <w:tcBorders>
              <w:top w:val="nil"/>
              <w:left w:val="nil"/>
              <w:bottom w:val="nil"/>
              <w:right w:val="nil"/>
            </w:tcBorders>
            <w:shd w:val="clear" w:color="auto" w:fill="auto"/>
            <w:noWrap/>
            <w:vAlign w:val="bottom"/>
            <w:hideMark/>
          </w:tcPr>
          <w:p w14:paraId="20DFA860"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3F4B2A0A"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4198A031"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603942AB" w14:textId="77777777" w:rsidTr="00B517A2">
        <w:trPr>
          <w:trHeight w:val="300"/>
        </w:trPr>
        <w:tc>
          <w:tcPr>
            <w:tcW w:w="1016" w:type="dxa"/>
            <w:tcBorders>
              <w:top w:val="nil"/>
              <w:left w:val="nil"/>
              <w:bottom w:val="nil"/>
              <w:right w:val="nil"/>
            </w:tcBorders>
            <w:shd w:val="clear" w:color="auto" w:fill="auto"/>
            <w:noWrap/>
            <w:vAlign w:val="bottom"/>
            <w:hideMark/>
          </w:tcPr>
          <w:p w14:paraId="010A02FE"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82189BC"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39ADEBBB"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20,300,593.21</w:t>
            </w:r>
          </w:p>
        </w:tc>
      </w:tr>
      <w:tr w:rsidR="00B517A2" w:rsidRPr="00B517A2" w14:paraId="5BBDF788" w14:textId="77777777" w:rsidTr="00B517A2">
        <w:trPr>
          <w:trHeight w:val="300"/>
        </w:trPr>
        <w:tc>
          <w:tcPr>
            <w:tcW w:w="1016" w:type="dxa"/>
            <w:tcBorders>
              <w:top w:val="nil"/>
              <w:left w:val="nil"/>
              <w:bottom w:val="nil"/>
              <w:right w:val="nil"/>
            </w:tcBorders>
            <w:shd w:val="clear" w:color="auto" w:fill="auto"/>
            <w:noWrap/>
            <w:vAlign w:val="bottom"/>
            <w:hideMark/>
          </w:tcPr>
          <w:p w14:paraId="0FBF7CE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402686A6"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21087003"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1,547,119.88</w:t>
            </w:r>
          </w:p>
        </w:tc>
      </w:tr>
      <w:tr w:rsidR="00B517A2" w:rsidRPr="00B517A2" w14:paraId="7EB6FC6E" w14:textId="77777777" w:rsidTr="00B517A2">
        <w:trPr>
          <w:trHeight w:val="300"/>
        </w:trPr>
        <w:tc>
          <w:tcPr>
            <w:tcW w:w="1016" w:type="dxa"/>
            <w:tcBorders>
              <w:top w:val="nil"/>
              <w:left w:val="nil"/>
              <w:bottom w:val="nil"/>
              <w:right w:val="nil"/>
            </w:tcBorders>
            <w:shd w:val="clear" w:color="auto" w:fill="auto"/>
            <w:noWrap/>
            <w:vAlign w:val="bottom"/>
            <w:hideMark/>
          </w:tcPr>
          <w:p w14:paraId="21CE1172"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7980119C"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41308DA6"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16,248,888.85</w:t>
            </w:r>
          </w:p>
        </w:tc>
      </w:tr>
      <w:tr w:rsidR="00B517A2" w:rsidRPr="00B517A2" w14:paraId="3119D898" w14:textId="77777777" w:rsidTr="00B517A2">
        <w:trPr>
          <w:trHeight w:val="300"/>
        </w:trPr>
        <w:tc>
          <w:tcPr>
            <w:tcW w:w="1016" w:type="dxa"/>
            <w:tcBorders>
              <w:top w:val="nil"/>
              <w:left w:val="nil"/>
              <w:bottom w:val="nil"/>
              <w:right w:val="nil"/>
            </w:tcBorders>
            <w:shd w:val="clear" w:color="auto" w:fill="auto"/>
            <w:noWrap/>
            <w:vAlign w:val="bottom"/>
            <w:hideMark/>
          </w:tcPr>
          <w:p w14:paraId="4CFF1414"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70B21084"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7A307C34"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300,000.00</w:t>
            </w:r>
          </w:p>
        </w:tc>
      </w:tr>
      <w:tr w:rsidR="00B517A2" w:rsidRPr="00B517A2" w14:paraId="52D4B4E0" w14:textId="77777777" w:rsidTr="00B517A2">
        <w:trPr>
          <w:trHeight w:val="300"/>
        </w:trPr>
        <w:tc>
          <w:tcPr>
            <w:tcW w:w="1016" w:type="dxa"/>
            <w:tcBorders>
              <w:top w:val="nil"/>
              <w:left w:val="nil"/>
              <w:bottom w:val="nil"/>
              <w:right w:val="nil"/>
            </w:tcBorders>
            <w:shd w:val="clear" w:color="auto" w:fill="auto"/>
            <w:noWrap/>
            <w:vAlign w:val="bottom"/>
            <w:hideMark/>
          </w:tcPr>
          <w:p w14:paraId="479702E1" w14:textId="77777777" w:rsidR="00B517A2" w:rsidRPr="00B517A2" w:rsidRDefault="00B517A2" w:rsidP="00B517A2">
            <w:pPr>
              <w:spacing w:after="0" w:line="240" w:lineRule="auto"/>
              <w:jc w:val="center"/>
              <w:rPr>
                <w:rFonts w:eastAsia="Times New Roman" w:cs="Calibri"/>
                <w:b/>
                <w:bCs/>
                <w:color w:val="000000"/>
                <w:sz w:val="20"/>
                <w:szCs w:val="20"/>
                <w:lang w:eastAsia="es-MX"/>
              </w:rPr>
            </w:pPr>
            <w:r w:rsidRPr="00B517A2">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07564C68" w14:textId="77777777" w:rsidR="00B517A2" w:rsidRPr="00B517A2" w:rsidRDefault="00B517A2" w:rsidP="00B517A2">
            <w:pPr>
              <w:spacing w:after="0" w:line="240" w:lineRule="auto"/>
              <w:rPr>
                <w:rFonts w:eastAsia="Times New Roman" w:cs="Calibri"/>
                <w:b/>
                <w:bCs/>
                <w:color w:val="000000"/>
                <w:sz w:val="20"/>
                <w:szCs w:val="20"/>
                <w:lang w:eastAsia="es-MX"/>
              </w:rPr>
            </w:pPr>
            <w:r w:rsidRPr="00B517A2">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14BDDD05" w14:textId="77777777" w:rsidR="00B517A2" w:rsidRPr="00B517A2" w:rsidRDefault="00B517A2" w:rsidP="00B517A2">
            <w:pPr>
              <w:spacing w:after="0" w:line="240" w:lineRule="auto"/>
              <w:jc w:val="right"/>
              <w:rPr>
                <w:rFonts w:eastAsia="Times New Roman" w:cs="Calibri"/>
                <w:b/>
                <w:bCs/>
                <w:color w:val="000000"/>
                <w:sz w:val="20"/>
                <w:szCs w:val="20"/>
                <w:lang w:eastAsia="es-MX"/>
              </w:rPr>
            </w:pPr>
            <w:r w:rsidRPr="00B517A2">
              <w:rPr>
                <w:rFonts w:eastAsia="Times New Roman" w:cs="Calibri"/>
                <w:b/>
                <w:bCs/>
                <w:color w:val="000000"/>
                <w:sz w:val="20"/>
                <w:szCs w:val="20"/>
                <w:lang w:eastAsia="es-MX"/>
              </w:rPr>
              <w:t>575,073.98</w:t>
            </w:r>
          </w:p>
        </w:tc>
      </w:tr>
      <w:tr w:rsidR="00B517A2" w:rsidRPr="00B517A2" w14:paraId="7E70EB65" w14:textId="77777777" w:rsidTr="00B517A2">
        <w:trPr>
          <w:trHeight w:val="300"/>
        </w:trPr>
        <w:tc>
          <w:tcPr>
            <w:tcW w:w="1016" w:type="dxa"/>
            <w:tcBorders>
              <w:top w:val="nil"/>
              <w:left w:val="nil"/>
              <w:bottom w:val="nil"/>
              <w:right w:val="nil"/>
            </w:tcBorders>
            <w:shd w:val="clear" w:color="auto" w:fill="auto"/>
            <w:noWrap/>
            <w:vAlign w:val="bottom"/>
            <w:hideMark/>
          </w:tcPr>
          <w:p w14:paraId="452BC7B9" w14:textId="77777777" w:rsidR="00B517A2" w:rsidRPr="00B517A2" w:rsidRDefault="00B517A2" w:rsidP="00B517A2">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3B99CF96"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6BD7CFE"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r w:rsidR="00B517A2" w:rsidRPr="00B517A2" w14:paraId="12210380" w14:textId="77777777" w:rsidTr="00B517A2">
        <w:trPr>
          <w:trHeight w:val="315"/>
        </w:trPr>
        <w:tc>
          <w:tcPr>
            <w:tcW w:w="1016" w:type="dxa"/>
            <w:tcBorders>
              <w:top w:val="nil"/>
              <w:left w:val="nil"/>
              <w:bottom w:val="nil"/>
              <w:right w:val="nil"/>
            </w:tcBorders>
            <w:shd w:val="clear" w:color="auto" w:fill="auto"/>
            <w:noWrap/>
            <w:vAlign w:val="bottom"/>
            <w:hideMark/>
          </w:tcPr>
          <w:p w14:paraId="4D037AB3" w14:textId="77777777" w:rsidR="00B517A2" w:rsidRPr="00B517A2" w:rsidRDefault="00B517A2" w:rsidP="00B517A2">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19870C5B" w14:textId="77777777" w:rsidR="00B517A2" w:rsidRPr="00B517A2" w:rsidRDefault="00B517A2" w:rsidP="00B517A2">
            <w:pPr>
              <w:spacing w:after="0" w:line="240" w:lineRule="auto"/>
              <w:rPr>
                <w:rFonts w:eastAsia="Times New Roman" w:cs="Calibri"/>
                <w:b/>
                <w:bCs/>
                <w:color w:val="000000"/>
                <w:sz w:val="24"/>
                <w:szCs w:val="24"/>
                <w:lang w:eastAsia="es-MX"/>
              </w:rPr>
            </w:pPr>
            <w:r w:rsidRPr="00B517A2">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6CF1C50A" w14:textId="77777777" w:rsidR="00B517A2" w:rsidRPr="00B517A2" w:rsidRDefault="00B517A2" w:rsidP="00B517A2">
            <w:pPr>
              <w:spacing w:after="0" w:line="240" w:lineRule="auto"/>
              <w:jc w:val="right"/>
              <w:rPr>
                <w:rFonts w:eastAsia="Times New Roman" w:cs="Calibri"/>
                <w:b/>
                <w:bCs/>
                <w:color w:val="000000"/>
                <w:sz w:val="24"/>
                <w:szCs w:val="24"/>
                <w:lang w:eastAsia="es-MX"/>
              </w:rPr>
            </w:pPr>
            <w:r w:rsidRPr="00B517A2">
              <w:rPr>
                <w:rFonts w:eastAsia="Times New Roman" w:cs="Calibri"/>
                <w:b/>
                <w:bCs/>
                <w:color w:val="000000"/>
                <w:sz w:val="24"/>
                <w:szCs w:val="24"/>
                <w:lang w:eastAsia="es-MX"/>
              </w:rPr>
              <w:t xml:space="preserve">38,971,675.92 </w:t>
            </w:r>
          </w:p>
        </w:tc>
      </w:tr>
      <w:tr w:rsidR="00B517A2" w:rsidRPr="00B517A2" w14:paraId="384FB7EE" w14:textId="77777777" w:rsidTr="00B517A2">
        <w:trPr>
          <w:trHeight w:val="300"/>
        </w:trPr>
        <w:tc>
          <w:tcPr>
            <w:tcW w:w="1016" w:type="dxa"/>
            <w:tcBorders>
              <w:top w:val="nil"/>
              <w:left w:val="nil"/>
              <w:bottom w:val="nil"/>
              <w:right w:val="nil"/>
            </w:tcBorders>
            <w:shd w:val="clear" w:color="auto" w:fill="auto"/>
            <w:noWrap/>
            <w:vAlign w:val="bottom"/>
            <w:hideMark/>
          </w:tcPr>
          <w:p w14:paraId="17900A83" w14:textId="77777777" w:rsidR="00B517A2" w:rsidRPr="00B517A2" w:rsidRDefault="00B517A2" w:rsidP="00B517A2">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0BF0023C" w14:textId="77777777" w:rsidR="00B517A2" w:rsidRPr="00B517A2" w:rsidRDefault="00B517A2" w:rsidP="00B517A2">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1926595" w14:textId="77777777" w:rsidR="00B517A2" w:rsidRPr="00B517A2" w:rsidRDefault="00B517A2" w:rsidP="00B517A2">
            <w:pPr>
              <w:spacing w:after="0" w:line="240" w:lineRule="auto"/>
              <w:rPr>
                <w:rFonts w:ascii="Times New Roman" w:eastAsia="Times New Roman" w:hAnsi="Times New Roman"/>
                <w:sz w:val="20"/>
                <w:szCs w:val="20"/>
                <w:lang w:eastAsia="es-MX"/>
              </w:rPr>
            </w:pPr>
          </w:p>
        </w:tc>
      </w:tr>
    </w:tbl>
    <w:p w14:paraId="68E97D1C" w14:textId="77777777" w:rsidR="00B517A2" w:rsidRPr="00E74967" w:rsidRDefault="00B517A2" w:rsidP="00CB41C4">
      <w:pPr>
        <w:tabs>
          <w:tab w:val="left" w:leader="underscore" w:pos="9639"/>
        </w:tabs>
        <w:spacing w:after="0" w:line="240" w:lineRule="auto"/>
        <w:jc w:val="both"/>
        <w:rPr>
          <w:rFonts w:cs="Calibri"/>
        </w:rPr>
      </w:pPr>
    </w:p>
    <w:p w14:paraId="3285DC0B" w14:textId="3F53D6A7" w:rsidR="007D1E76" w:rsidRDefault="007D1E76" w:rsidP="00CB41C4">
      <w:pPr>
        <w:tabs>
          <w:tab w:val="left" w:leader="underscore" w:pos="9639"/>
        </w:tabs>
        <w:spacing w:after="0" w:line="240" w:lineRule="auto"/>
        <w:jc w:val="both"/>
        <w:rPr>
          <w:rFonts w:cs="Calibri"/>
        </w:rPr>
      </w:pPr>
    </w:p>
    <w:p w14:paraId="0E5EA7F4" w14:textId="5994CF4C" w:rsidR="00B517A2" w:rsidRDefault="00B517A2" w:rsidP="00CB41C4">
      <w:pPr>
        <w:tabs>
          <w:tab w:val="left" w:leader="underscore" w:pos="9639"/>
        </w:tabs>
        <w:spacing w:after="0" w:line="240" w:lineRule="auto"/>
        <w:jc w:val="both"/>
        <w:rPr>
          <w:rFonts w:cs="Calibri"/>
        </w:rPr>
      </w:pPr>
    </w:p>
    <w:p w14:paraId="3CE176D1" w14:textId="7F2B8077" w:rsidR="00B517A2" w:rsidRDefault="00B517A2"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lastRenderedPageBreak/>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46CF6F7" w14:textId="77777777" w:rsidR="00735195" w:rsidRDefault="00735195" w:rsidP="00735195">
      <w:pPr>
        <w:spacing w:after="0" w:line="240" w:lineRule="auto"/>
        <w:jc w:val="both"/>
        <w:rPr>
          <w:rFonts w:cs="Calibri"/>
        </w:rPr>
      </w:pPr>
    </w:p>
    <w:p w14:paraId="0538CB21" w14:textId="0D515CB4" w:rsidR="00735195" w:rsidRDefault="00735195" w:rsidP="00735195">
      <w:pPr>
        <w:spacing w:after="0" w:line="240" w:lineRule="auto"/>
        <w:jc w:val="both"/>
        <w:rPr>
          <w:rFonts w:cs="Calibri"/>
        </w:rPr>
      </w:pPr>
      <w:r w:rsidRPr="00F07724">
        <w:rPr>
          <w:rFonts w:cs="Calibri"/>
        </w:rPr>
        <w:t xml:space="preserve">El H. Ayuntamiento Municipal de Celaya, </w:t>
      </w:r>
      <w:proofErr w:type="spellStart"/>
      <w:r w:rsidRPr="00F07724">
        <w:rPr>
          <w:rFonts w:cs="Calibri"/>
        </w:rPr>
        <w:t>Gto</w:t>
      </w:r>
      <w:proofErr w:type="spellEnd"/>
      <w:r w:rsidRPr="00F07724">
        <w:rPr>
          <w:rFonts w:cs="Calibri"/>
        </w:rPr>
        <w:t>, con fundamento en lo dispuesto por el artículo 115 de la Constitución Política de los Estados Unidos Mexicanos, el artículo 117 fracciones I, II Y XI de la Constitución del Estado de Guanajuato, y en el artículo 69 fracción I inciso b), fracción V inciso a) y f) de la Ley Orgánica Municipal, en la sesión cuadragésima ordinaria, celebrada el 17 de mayo del 2002, aprobó el reglamento que crea al Sistema Municipal de</w:t>
      </w:r>
      <w:r>
        <w:rPr>
          <w:rFonts w:cs="Calibri"/>
        </w:rPr>
        <w:t xml:space="preserve"> Arte y Cultura de Celaya, </w:t>
      </w:r>
      <w:proofErr w:type="spellStart"/>
      <w:r>
        <w:rPr>
          <w:rFonts w:cs="Calibri"/>
        </w:rPr>
        <w:t>Gto</w:t>
      </w:r>
      <w:proofErr w:type="spellEnd"/>
      <w:r>
        <w:rPr>
          <w:rFonts w:cs="Calibri"/>
        </w:rPr>
        <w:t>., mismo que fue publicado en el periódico oficial del Estado de Guanajuato el 10 de septiembre del 2002.</w:t>
      </w:r>
    </w:p>
    <w:p w14:paraId="055E2C0D" w14:textId="6B125F05" w:rsidR="00735195" w:rsidRDefault="00735195" w:rsidP="00735195">
      <w:pPr>
        <w:spacing w:after="0" w:line="240" w:lineRule="auto"/>
        <w:jc w:val="both"/>
        <w:rPr>
          <w:rFonts w:cs="Calibri"/>
        </w:rPr>
      </w:pPr>
    </w:p>
    <w:p w14:paraId="3AD42F63" w14:textId="159113C0" w:rsidR="00735195" w:rsidRPr="00F07724" w:rsidRDefault="00735195" w:rsidP="009F0A82">
      <w:pPr>
        <w:spacing w:after="0" w:line="240" w:lineRule="auto"/>
        <w:jc w:val="both"/>
        <w:rPr>
          <w:rFonts w:cs="Calibri"/>
        </w:rPr>
      </w:pPr>
      <w:r>
        <w:rPr>
          <w:rFonts w:cs="Calibri"/>
        </w:rPr>
        <w:t>El 20 de diciembre del 2017</w:t>
      </w:r>
      <w:r w:rsidR="009F0A82">
        <w:rPr>
          <w:rFonts w:cs="Calibri"/>
        </w:rPr>
        <w:t xml:space="preserve"> el </w:t>
      </w:r>
      <w:r w:rsidR="009F0A82" w:rsidRPr="00F07724">
        <w:rPr>
          <w:rFonts w:cs="Calibri"/>
        </w:rPr>
        <w:t xml:space="preserve">H. Ayuntamiento Municipal de Celaya, </w:t>
      </w:r>
      <w:proofErr w:type="spellStart"/>
      <w:r w:rsidR="009F0A82" w:rsidRPr="00F07724">
        <w:rPr>
          <w:rFonts w:cs="Calibri"/>
        </w:rPr>
        <w:t>Gto</w:t>
      </w:r>
      <w:proofErr w:type="spellEnd"/>
      <w:r w:rsidR="009F0A82" w:rsidRPr="00F07724">
        <w:rPr>
          <w:rFonts w:cs="Calibri"/>
        </w:rPr>
        <w:t>,</w:t>
      </w:r>
      <w:r w:rsidR="009F0A82">
        <w:rPr>
          <w:rFonts w:cs="Calibri"/>
        </w:rPr>
        <w:t xml:space="preserve"> aprobó la modificación al reglamento, donde cambia de nombre a Instituto Municipal de Arte y Cultura de Celaya, el cual fue publicado el 13 de junio del 2018.</w:t>
      </w:r>
    </w:p>
    <w:p w14:paraId="4F52E4E0" w14:textId="67EF0BDD" w:rsidR="007D1E76" w:rsidRDefault="007D1E76" w:rsidP="00CB41C4">
      <w:pPr>
        <w:tabs>
          <w:tab w:val="left" w:leader="underscore" w:pos="9639"/>
        </w:tabs>
        <w:spacing w:after="0" w:line="240" w:lineRule="auto"/>
        <w:jc w:val="both"/>
        <w:rPr>
          <w:rFonts w:cs="Calibri"/>
        </w:rPr>
      </w:pPr>
    </w:p>
    <w:p w14:paraId="58A706DC" w14:textId="77777777" w:rsidR="00735195" w:rsidRPr="00E74967" w:rsidRDefault="00735195" w:rsidP="00CB41C4">
      <w:pPr>
        <w:tabs>
          <w:tab w:val="left" w:leader="underscore" w:pos="9639"/>
        </w:tabs>
        <w:spacing w:after="0" w:line="240" w:lineRule="auto"/>
        <w:jc w:val="both"/>
        <w:rPr>
          <w:rFonts w:cs="Calibri"/>
        </w:rPr>
      </w:pPr>
    </w:p>
    <w:p w14:paraId="3A2353BF" w14:textId="64E1082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80248C9" w14:textId="5CBA23AA" w:rsidR="009F0A82" w:rsidRDefault="009F0A82" w:rsidP="00CB41C4">
      <w:pPr>
        <w:tabs>
          <w:tab w:val="left" w:leader="underscore" w:pos="9639"/>
        </w:tabs>
        <w:spacing w:after="0" w:line="240" w:lineRule="auto"/>
        <w:jc w:val="both"/>
        <w:rPr>
          <w:rFonts w:cs="Calibri"/>
        </w:rPr>
      </w:pPr>
    </w:p>
    <w:p w14:paraId="0666D5A0" w14:textId="1ED47A38" w:rsidR="009F0A82" w:rsidRDefault="009F0A82" w:rsidP="009F0A82">
      <w:pPr>
        <w:spacing w:after="0" w:line="240" w:lineRule="auto"/>
        <w:jc w:val="both"/>
        <w:rPr>
          <w:rFonts w:cs="Calibri"/>
        </w:rPr>
      </w:pPr>
      <w:r w:rsidRPr="00F07724">
        <w:rPr>
          <w:rFonts w:cs="Calibri"/>
        </w:rPr>
        <w:t xml:space="preserve">El </w:t>
      </w:r>
      <w:r>
        <w:rPr>
          <w:rFonts w:cs="Calibri"/>
        </w:rPr>
        <w:t>IN</w:t>
      </w:r>
      <w:r w:rsidRPr="00F07724">
        <w:rPr>
          <w:rFonts w:cs="Calibri"/>
        </w:rPr>
        <w:t xml:space="preserve">SMACC está formado por un Consejo Directivo, Director General y </w:t>
      </w:r>
      <w:r>
        <w:rPr>
          <w:rFonts w:cs="Calibri"/>
        </w:rPr>
        <w:t>Unidades Administrativas</w:t>
      </w:r>
      <w:r w:rsidRPr="00F07724">
        <w:rPr>
          <w:rFonts w:cs="Calibri"/>
        </w:rPr>
        <w:t>.</w:t>
      </w:r>
    </w:p>
    <w:p w14:paraId="45932019" w14:textId="574B7F7D" w:rsidR="007D1E76" w:rsidRPr="00E74967" w:rsidRDefault="007D1E76"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01A5DF2" w14:textId="77777777" w:rsidR="009F0A82" w:rsidRDefault="009F0A82" w:rsidP="009F0A82">
      <w:pPr>
        <w:spacing w:after="0" w:line="240" w:lineRule="auto"/>
        <w:rPr>
          <w:rFonts w:cs="Calibri"/>
        </w:rPr>
      </w:pPr>
    </w:p>
    <w:p w14:paraId="65CCC038" w14:textId="31E91664" w:rsidR="009F0A82" w:rsidRDefault="008569D5" w:rsidP="00086468">
      <w:pPr>
        <w:pStyle w:val="Prrafodelista"/>
        <w:numPr>
          <w:ilvl w:val="0"/>
          <w:numId w:val="2"/>
        </w:numPr>
        <w:spacing w:after="0" w:line="240" w:lineRule="auto"/>
        <w:jc w:val="both"/>
        <w:rPr>
          <w:rFonts w:cs="Calibri"/>
        </w:rPr>
      </w:pPr>
      <w:r>
        <w:rPr>
          <w:rFonts w:cs="Calibri"/>
        </w:rPr>
        <w:t>Preservar el patrimonio histórico, artístico y cultural con bases a los reglamentos vigentes en la materia para la conservación del patrimonio tangible e intangible que se encuentre bajo resguardo del Instituto;</w:t>
      </w:r>
    </w:p>
    <w:p w14:paraId="50B428A1" w14:textId="0194DF8C" w:rsidR="008569D5" w:rsidRDefault="008569D5" w:rsidP="00086468">
      <w:pPr>
        <w:pStyle w:val="Prrafodelista"/>
        <w:numPr>
          <w:ilvl w:val="0"/>
          <w:numId w:val="2"/>
        </w:numPr>
        <w:spacing w:after="0" w:line="240" w:lineRule="auto"/>
        <w:jc w:val="both"/>
        <w:rPr>
          <w:rFonts w:cs="Calibri"/>
        </w:rPr>
      </w:pPr>
      <w:r>
        <w:rPr>
          <w:rFonts w:cs="Calibri"/>
        </w:rPr>
        <w:t>Coordinar, planear y supervisar las actividades que se lleven a cabo para la formación artística;</w:t>
      </w:r>
    </w:p>
    <w:p w14:paraId="7F0A8DD0" w14:textId="188073BB" w:rsidR="008569D5" w:rsidRDefault="008569D5" w:rsidP="00086468">
      <w:pPr>
        <w:pStyle w:val="Prrafodelista"/>
        <w:numPr>
          <w:ilvl w:val="0"/>
          <w:numId w:val="2"/>
        </w:numPr>
        <w:spacing w:after="0" w:line="240" w:lineRule="auto"/>
        <w:jc w:val="both"/>
        <w:rPr>
          <w:rFonts w:cs="Calibri"/>
        </w:rPr>
      </w:pPr>
      <w:r>
        <w:rPr>
          <w:rFonts w:cs="Calibri"/>
        </w:rPr>
        <w:t>Desarrollar programas de fomento a proyectos artístico-cultural que conlleve al desarrollo de la población;</w:t>
      </w:r>
    </w:p>
    <w:p w14:paraId="12E494B8" w14:textId="30A9266E" w:rsidR="008569D5" w:rsidRDefault="008569D5" w:rsidP="00086468">
      <w:pPr>
        <w:pStyle w:val="Prrafodelista"/>
        <w:numPr>
          <w:ilvl w:val="0"/>
          <w:numId w:val="2"/>
        </w:numPr>
        <w:spacing w:after="0" w:line="240" w:lineRule="auto"/>
        <w:jc w:val="both"/>
        <w:rPr>
          <w:rFonts w:cs="Calibri"/>
        </w:rPr>
      </w:pPr>
      <w:r>
        <w:rPr>
          <w:rFonts w:cs="Calibri"/>
        </w:rPr>
        <w:t>Administrar e incrementar los recursos materiales, financieros, humanos y de infraestructura con los que cuenta el Instituto para el logro de sus objetivos;</w:t>
      </w:r>
    </w:p>
    <w:p w14:paraId="64341D34" w14:textId="7045A864" w:rsidR="008569D5" w:rsidRDefault="008569D5" w:rsidP="00086468">
      <w:pPr>
        <w:pStyle w:val="Prrafodelista"/>
        <w:numPr>
          <w:ilvl w:val="0"/>
          <w:numId w:val="2"/>
        </w:numPr>
        <w:spacing w:after="0" w:line="240" w:lineRule="auto"/>
        <w:jc w:val="both"/>
        <w:rPr>
          <w:rFonts w:cs="Calibri"/>
        </w:rPr>
      </w:pPr>
      <w:r>
        <w:rPr>
          <w:rFonts w:cs="Calibri"/>
        </w:rPr>
        <w:t>Fomentar los valores cívicos, sociales y culturales del municipio;</w:t>
      </w:r>
    </w:p>
    <w:p w14:paraId="3B59E9EE" w14:textId="6B1B7216" w:rsidR="008569D5" w:rsidRDefault="00371DEF" w:rsidP="00086468">
      <w:pPr>
        <w:pStyle w:val="Prrafodelista"/>
        <w:numPr>
          <w:ilvl w:val="0"/>
          <w:numId w:val="2"/>
        </w:numPr>
        <w:spacing w:after="0" w:line="240" w:lineRule="auto"/>
        <w:jc w:val="both"/>
        <w:rPr>
          <w:rFonts w:cs="Calibri"/>
        </w:rPr>
      </w:pPr>
      <w:r>
        <w:rPr>
          <w:rFonts w:cs="Calibri"/>
        </w:rPr>
        <w:t>Cumplir con las políticas que apruebe el Ayuntamiento en materia de cultura en el municipio;</w:t>
      </w:r>
    </w:p>
    <w:p w14:paraId="16F4A856" w14:textId="0A0B3A6A" w:rsidR="00371DEF" w:rsidRDefault="00371DEF" w:rsidP="00086468">
      <w:pPr>
        <w:pStyle w:val="Prrafodelista"/>
        <w:numPr>
          <w:ilvl w:val="0"/>
          <w:numId w:val="2"/>
        </w:numPr>
        <w:spacing w:after="0" w:line="240" w:lineRule="auto"/>
        <w:jc w:val="both"/>
        <w:rPr>
          <w:rFonts w:cs="Calibri"/>
        </w:rPr>
      </w:pPr>
      <w:r>
        <w:rPr>
          <w:rFonts w:cs="Calibri"/>
        </w:rPr>
        <w:t>Conservar y transmitir la palabra oral y escrita, fomentando la lectura;</w:t>
      </w:r>
    </w:p>
    <w:p w14:paraId="6BCCBD30" w14:textId="514745BF" w:rsidR="00371DEF" w:rsidRDefault="00371DEF" w:rsidP="00086468">
      <w:pPr>
        <w:pStyle w:val="Prrafodelista"/>
        <w:numPr>
          <w:ilvl w:val="0"/>
          <w:numId w:val="2"/>
        </w:numPr>
        <w:spacing w:after="0" w:line="240" w:lineRule="auto"/>
        <w:jc w:val="both"/>
        <w:rPr>
          <w:rFonts w:cs="Calibri"/>
        </w:rPr>
      </w:pPr>
      <w:r>
        <w:rPr>
          <w:rFonts w:cs="Calibri"/>
        </w:rPr>
        <w:t>Impulsar la dinámica de participación social que permita asegurar el desarrollo de un proceso cultural integral en continua transformación</w:t>
      </w:r>
      <w:r w:rsidR="00086468">
        <w:rPr>
          <w:rFonts w:cs="Calibri"/>
        </w:rPr>
        <w:t>, que sea generado, desarrollado, asumido, compartido y aprovechado por la propia sociedad;</w:t>
      </w:r>
    </w:p>
    <w:p w14:paraId="364B9F5B" w14:textId="10D8B7CB" w:rsidR="00086468" w:rsidRDefault="00086468" w:rsidP="00086468">
      <w:pPr>
        <w:pStyle w:val="Prrafodelista"/>
        <w:numPr>
          <w:ilvl w:val="0"/>
          <w:numId w:val="2"/>
        </w:numPr>
        <w:spacing w:after="0" w:line="240" w:lineRule="auto"/>
        <w:jc w:val="both"/>
        <w:rPr>
          <w:rFonts w:cs="Calibri"/>
        </w:rPr>
      </w:pPr>
      <w:r>
        <w:rPr>
          <w:rFonts w:cs="Calibri"/>
        </w:rPr>
        <w:t>Procurar que todos los habitantes y grupos sociales puedan disfrutar los bienes y servicios culturales necesarios para el sustento del espíritu, el fomento de la dignidad, la convivencia pacífica y armónica, sin discriminación; y,</w:t>
      </w:r>
    </w:p>
    <w:p w14:paraId="3533FBA5" w14:textId="6CE11D5B" w:rsidR="00086468" w:rsidRPr="008569D5" w:rsidRDefault="00086468" w:rsidP="00086468">
      <w:pPr>
        <w:pStyle w:val="Prrafodelista"/>
        <w:numPr>
          <w:ilvl w:val="0"/>
          <w:numId w:val="2"/>
        </w:numPr>
        <w:spacing w:after="0" w:line="240" w:lineRule="auto"/>
        <w:jc w:val="both"/>
        <w:rPr>
          <w:rFonts w:cs="Calibri"/>
        </w:rPr>
      </w:pPr>
      <w:r>
        <w:rPr>
          <w:rFonts w:cs="Calibri"/>
        </w:rPr>
        <w:t>Las demás que le señalen las leyes, reglamentos y demás ordenamientos legales.</w:t>
      </w:r>
    </w:p>
    <w:p w14:paraId="2C110A08" w14:textId="628CC618" w:rsidR="007D1E76"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4D986308" w14:textId="77777777" w:rsidR="009F0A82" w:rsidRPr="00E74967" w:rsidRDefault="009F0A82" w:rsidP="00CB41C4">
      <w:pPr>
        <w:tabs>
          <w:tab w:val="left" w:leader="underscore" w:pos="9639"/>
        </w:tabs>
        <w:spacing w:after="0" w:line="240" w:lineRule="auto"/>
        <w:jc w:val="both"/>
        <w:rPr>
          <w:rFonts w:cs="Calibri"/>
        </w:rPr>
      </w:pPr>
    </w:p>
    <w:p w14:paraId="476D3738" w14:textId="77777777" w:rsidR="008569D5" w:rsidRDefault="008569D5" w:rsidP="008569D5">
      <w:pPr>
        <w:spacing w:after="0" w:line="240" w:lineRule="auto"/>
        <w:rPr>
          <w:rFonts w:cs="Calibri"/>
        </w:rPr>
      </w:pPr>
      <w:r>
        <w:rPr>
          <w:rFonts w:cs="Calibri"/>
        </w:rPr>
        <w:t>Garantizar el acceso y participación en la vida cultural; y,</w:t>
      </w:r>
    </w:p>
    <w:p w14:paraId="43EC4BD7" w14:textId="77777777" w:rsidR="008569D5" w:rsidRPr="00F07724" w:rsidRDefault="008569D5" w:rsidP="008569D5">
      <w:pPr>
        <w:spacing w:after="0" w:line="240" w:lineRule="auto"/>
        <w:rPr>
          <w:rFonts w:cs="Calibri"/>
        </w:rPr>
      </w:pPr>
    </w:p>
    <w:p w14:paraId="5B26518B" w14:textId="77777777" w:rsidR="008569D5" w:rsidRPr="00F07724" w:rsidRDefault="008569D5" w:rsidP="008569D5">
      <w:pPr>
        <w:spacing w:after="0" w:line="240" w:lineRule="auto"/>
        <w:rPr>
          <w:rFonts w:cs="Calibri"/>
        </w:rPr>
      </w:pPr>
      <w:r>
        <w:rPr>
          <w:rFonts w:cs="Calibri"/>
        </w:rPr>
        <w:t>Coadyuvar a la creación, producción, preservación, difusión, promoción, fomento e investigación de la actividad cultural.</w:t>
      </w:r>
    </w:p>
    <w:p w14:paraId="15F90EEC" w14:textId="7FA9AC72" w:rsidR="00CB41C4" w:rsidRDefault="00CB41C4" w:rsidP="00CB41C4">
      <w:pPr>
        <w:tabs>
          <w:tab w:val="left" w:leader="underscore" w:pos="9639"/>
        </w:tabs>
        <w:spacing w:after="0" w:line="240" w:lineRule="auto"/>
        <w:jc w:val="both"/>
        <w:rPr>
          <w:rFonts w:cs="Calibri"/>
        </w:rPr>
      </w:pPr>
    </w:p>
    <w:p w14:paraId="2B4990F2" w14:textId="77777777" w:rsidR="00207067" w:rsidRPr="00E74967" w:rsidRDefault="00207067"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16703E54" w14:textId="16CA5313" w:rsidR="007D1E76" w:rsidRDefault="007D1E76" w:rsidP="00CB41C4">
      <w:pPr>
        <w:tabs>
          <w:tab w:val="left" w:leader="underscore" w:pos="9639"/>
        </w:tabs>
        <w:spacing w:after="0" w:line="240" w:lineRule="auto"/>
        <w:jc w:val="both"/>
        <w:rPr>
          <w:rFonts w:cs="Calibri"/>
        </w:rPr>
      </w:pPr>
    </w:p>
    <w:p w14:paraId="6AE1CD14" w14:textId="522F0844" w:rsidR="00086468" w:rsidRDefault="00086468" w:rsidP="00CB41C4">
      <w:pPr>
        <w:tabs>
          <w:tab w:val="left" w:leader="underscore" w:pos="9639"/>
        </w:tabs>
        <w:spacing w:after="0" w:line="240" w:lineRule="auto"/>
        <w:jc w:val="both"/>
        <w:rPr>
          <w:rFonts w:cs="Calibri"/>
        </w:rPr>
      </w:pPr>
      <w:r>
        <w:rPr>
          <w:rFonts w:cs="Calibri"/>
        </w:rPr>
        <w:t>Enero a diciembre 2019.</w:t>
      </w:r>
    </w:p>
    <w:p w14:paraId="715CEC6F" w14:textId="5890EDC0" w:rsidR="00086468" w:rsidRDefault="00086468" w:rsidP="00CB41C4">
      <w:pPr>
        <w:tabs>
          <w:tab w:val="left" w:leader="underscore" w:pos="9639"/>
        </w:tabs>
        <w:spacing w:after="0" w:line="240" w:lineRule="auto"/>
        <w:jc w:val="both"/>
        <w:rPr>
          <w:rFonts w:cs="Calibri"/>
        </w:rPr>
      </w:pPr>
    </w:p>
    <w:p w14:paraId="4AFDB8BD" w14:textId="77777777" w:rsidR="00207067" w:rsidRPr="00E74967" w:rsidRDefault="00207067"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88544D0" w14:textId="77777777" w:rsidR="00086468" w:rsidRDefault="00086468" w:rsidP="00086468">
      <w:pPr>
        <w:tabs>
          <w:tab w:val="left" w:leader="underscore" w:pos="9639"/>
        </w:tabs>
        <w:spacing w:after="0" w:line="240" w:lineRule="auto"/>
        <w:jc w:val="both"/>
      </w:pPr>
    </w:p>
    <w:p w14:paraId="1E304C19" w14:textId="56453814" w:rsidR="00086468" w:rsidRDefault="00086468" w:rsidP="00086468">
      <w:pPr>
        <w:tabs>
          <w:tab w:val="left" w:leader="underscore" w:pos="9639"/>
        </w:tabs>
        <w:spacing w:after="0" w:line="240" w:lineRule="auto"/>
        <w:jc w:val="both"/>
      </w:pPr>
      <w:r>
        <w:t>Personas Morales con Fines no Lucrativos</w:t>
      </w:r>
    </w:p>
    <w:p w14:paraId="68B22724" w14:textId="0E53AF7B" w:rsidR="007D1E76" w:rsidRDefault="007D1E76" w:rsidP="00CB41C4">
      <w:pPr>
        <w:tabs>
          <w:tab w:val="left" w:leader="underscore" w:pos="9639"/>
        </w:tabs>
        <w:spacing w:after="0" w:line="240" w:lineRule="auto"/>
        <w:jc w:val="both"/>
        <w:rPr>
          <w:rFonts w:cs="Calibri"/>
        </w:rPr>
      </w:pPr>
    </w:p>
    <w:p w14:paraId="3B7FC186" w14:textId="77777777" w:rsidR="00207067" w:rsidRPr="00E74967" w:rsidRDefault="00207067"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46D2A8D" w14:textId="77777777" w:rsidR="00086468" w:rsidRDefault="00086468" w:rsidP="00086468">
      <w:pPr>
        <w:tabs>
          <w:tab w:val="left" w:leader="underscore" w:pos="9639"/>
        </w:tabs>
        <w:spacing w:after="0" w:line="240" w:lineRule="auto"/>
        <w:jc w:val="both"/>
        <w:rPr>
          <w:rFonts w:cs="Calibri"/>
        </w:rPr>
      </w:pPr>
    </w:p>
    <w:p w14:paraId="3C82D667" w14:textId="1935DB92" w:rsidR="00086468" w:rsidRDefault="00086468" w:rsidP="00086468">
      <w:pPr>
        <w:tabs>
          <w:tab w:val="left" w:leader="underscore" w:pos="9639"/>
        </w:tabs>
        <w:spacing w:after="0" w:line="240" w:lineRule="auto"/>
        <w:jc w:val="both"/>
        <w:rPr>
          <w:rFonts w:cs="Calibri"/>
        </w:rPr>
      </w:pPr>
      <w:r w:rsidRPr="00951A8A">
        <w:rPr>
          <w:rFonts w:cs="Calibri"/>
        </w:rPr>
        <w:t xml:space="preserve">El </w:t>
      </w:r>
      <w:r>
        <w:rPr>
          <w:rFonts w:cs="Calibri"/>
        </w:rPr>
        <w:t>INSMACC</w:t>
      </w:r>
      <w:r w:rsidRPr="00951A8A">
        <w:rPr>
          <w:rFonts w:cs="Calibri"/>
        </w:rPr>
        <w:t xml:space="preserve"> está obligado a efectuar retenciones y enteros mensuales </w:t>
      </w:r>
      <w:r>
        <w:t>de ISR por servicios profesionales, ISR por sueldos y salarios, de ISR de ingresos por arrendamiento, retención por salarios o asimilados a salarios</w:t>
      </w:r>
      <w:r w:rsidRPr="00951A8A">
        <w:rPr>
          <w:rFonts w:cs="Calibri"/>
        </w:rPr>
        <w:t>. Por parte del estado y se tiene la obligación al pago de impuesto sobre nóminas, así como la retención y entero de impuesto cedular por la prestación de servicios profesionales o por el otorgamiento del uso o goce temporal de bienes inmuebles de acuerdo al TITULO III de Resolución Miscelánea Fiscal 201</w:t>
      </w:r>
      <w:r>
        <w:rPr>
          <w:rFonts w:cs="Calibri"/>
        </w:rPr>
        <w:t>9</w:t>
      </w:r>
      <w:r w:rsidRPr="00951A8A">
        <w:rPr>
          <w:rFonts w:cs="Calibri"/>
        </w:rPr>
        <w:t xml:space="preserve"> para el Estado</w:t>
      </w:r>
      <w:r>
        <w:rPr>
          <w:rFonts w:cs="Calibri"/>
        </w:rPr>
        <w:t xml:space="preserve"> de Guanajuato.</w:t>
      </w:r>
    </w:p>
    <w:p w14:paraId="6268EF76" w14:textId="15FEBED3" w:rsidR="007D1E76" w:rsidRDefault="007D1E76" w:rsidP="00CB41C4">
      <w:pPr>
        <w:tabs>
          <w:tab w:val="left" w:leader="underscore" w:pos="9639"/>
        </w:tabs>
        <w:spacing w:after="0" w:line="240" w:lineRule="auto"/>
        <w:jc w:val="both"/>
        <w:rPr>
          <w:rFonts w:cs="Calibri"/>
        </w:rPr>
      </w:pPr>
    </w:p>
    <w:p w14:paraId="39D9049F" w14:textId="77777777" w:rsidR="00207067" w:rsidRPr="00E74967" w:rsidRDefault="00207067"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4076588D" w:rsidR="007D1E76" w:rsidRDefault="007D1E76" w:rsidP="00CB41C4">
      <w:pPr>
        <w:tabs>
          <w:tab w:val="left" w:leader="underscore" w:pos="9639"/>
        </w:tabs>
        <w:spacing w:after="0" w:line="240" w:lineRule="auto"/>
        <w:jc w:val="both"/>
        <w:rPr>
          <w:rFonts w:cs="Calibri"/>
        </w:rPr>
      </w:pPr>
    </w:p>
    <w:p w14:paraId="5B40EBA0" w14:textId="25BD3450" w:rsidR="00207067" w:rsidRDefault="00207067" w:rsidP="00CB41C4">
      <w:pPr>
        <w:tabs>
          <w:tab w:val="left" w:leader="underscore" w:pos="9639"/>
        </w:tabs>
        <w:spacing w:after="0" w:line="240" w:lineRule="auto"/>
        <w:jc w:val="both"/>
        <w:rPr>
          <w:rFonts w:cs="Calibri"/>
        </w:rPr>
      </w:pPr>
      <w:r>
        <w:rPr>
          <w:noProof/>
          <w:lang w:eastAsia="es-MX"/>
        </w:rPr>
        <w:drawing>
          <wp:inline distT="0" distB="0" distL="0" distR="0" wp14:anchorId="668C991B" wp14:editId="52610BD4">
            <wp:extent cx="5960586" cy="2852531"/>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51" t="28914" r="30326" b="12430"/>
                    <a:stretch/>
                  </pic:blipFill>
                  <pic:spPr bwMode="auto">
                    <a:xfrm>
                      <a:off x="0" y="0"/>
                      <a:ext cx="5994829" cy="2868918"/>
                    </a:xfrm>
                    <a:prstGeom prst="rect">
                      <a:avLst/>
                    </a:prstGeom>
                    <a:ln>
                      <a:noFill/>
                    </a:ln>
                    <a:extLst>
                      <a:ext uri="{53640926-AAD7-44D8-BBD7-CCE9431645EC}">
                        <a14:shadowObscured xmlns:a14="http://schemas.microsoft.com/office/drawing/2010/main"/>
                      </a:ext>
                    </a:extLst>
                  </pic:spPr>
                </pic:pic>
              </a:graphicData>
            </a:graphic>
          </wp:inline>
        </w:drawing>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195424E" w14:textId="77777777" w:rsidR="00E278FE" w:rsidRDefault="00E278FE" w:rsidP="00E278FE">
      <w:pPr>
        <w:tabs>
          <w:tab w:val="left" w:leader="underscore" w:pos="9639"/>
        </w:tabs>
        <w:spacing w:after="0" w:line="240" w:lineRule="auto"/>
        <w:jc w:val="both"/>
        <w:rPr>
          <w:rFonts w:asciiTheme="minorHAnsi" w:hAnsiTheme="minorHAnsi" w:cstheme="minorHAnsi"/>
          <w:sz w:val="24"/>
          <w:szCs w:val="24"/>
        </w:rPr>
      </w:pPr>
    </w:p>
    <w:p w14:paraId="6A6EFB86" w14:textId="7EA3EBAD" w:rsidR="00E278FE" w:rsidRDefault="00E278FE" w:rsidP="00E278F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debido a que no se manejan</w:t>
      </w:r>
    </w:p>
    <w:p w14:paraId="4241EF36" w14:textId="60F3CE57"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D798CD" w14:textId="77777777" w:rsidR="00E278FE" w:rsidRDefault="00E278FE" w:rsidP="00E278FE">
      <w:pPr>
        <w:tabs>
          <w:tab w:val="left" w:leader="underscore" w:pos="9639"/>
        </w:tabs>
        <w:spacing w:after="0" w:line="240" w:lineRule="auto"/>
        <w:jc w:val="both"/>
        <w:rPr>
          <w:rFonts w:cs="Calibri"/>
        </w:rPr>
      </w:pPr>
    </w:p>
    <w:p w14:paraId="12A53384" w14:textId="20384B9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rPr>
        <w:t xml:space="preserve">En el marco de la Ley General de Contabilidad Gubernamental, el Municipio celebró con el Poder Ejecutivo del </w:t>
      </w:r>
      <w:r w:rsidR="00000CFF" w:rsidRPr="00000CFF">
        <w:rPr>
          <w:rFonts w:cs="Calibri"/>
        </w:rPr>
        <w:t>Estado, el</w:t>
      </w:r>
      <w:r w:rsidRPr="00000CFF">
        <w:rPr>
          <w:rFonts w:cs="Calibri"/>
        </w:rPr>
        <w:t xml:space="preserve"> Convenio para el uso, operación, configuración, resguardo e integridad de la información del Sistema Integral de la Hacienda </w:t>
      </w:r>
      <w:r w:rsidR="00000CFF" w:rsidRPr="00000CFF">
        <w:rPr>
          <w:rFonts w:cs="Calibri"/>
        </w:rPr>
        <w:t>Pública, lo</w:t>
      </w:r>
      <w:r w:rsidRPr="00000CFF">
        <w:rPr>
          <w:rFonts w:cs="Calibri"/>
        </w:rPr>
        <w:t xml:space="preserve"> cual nos ha permitido dar cumplimiento a los siguientes instrumentos técnicos: </w:t>
      </w:r>
    </w:p>
    <w:p w14:paraId="66B615D5"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72708622" w14:textId="77777777" w:rsidR="00F836AC" w:rsidRPr="00000CFF" w:rsidRDefault="00F836AC" w:rsidP="00000CFF">
      <w:pPr>
        <w:widowControl w:val="0"/>
        <w:autoSpaceDE w:val="0"/>
        <w:autoSpaceDN w:val="0"/>
        <w:adjustRightInd w:val="0"/>
        <w:spacing w:before="1" w:after="0" w:line="240" w:lineRule="auto"/>
        <w:ind w:right="851"/>
        <w:jc w:val="both"/>
        <w:rPr>
          <w:rFonts w:cs="Calibri"/>
        </w:rPr>
      </w:pPr>
      <w:r w:rsidRPr="00000CFF">
        <w:rPr>
          <w:rFonts w:cs="Calibri"/>
          <w:b/>
        </w:rPr>
        <w:t>Plan de Cuentas:</w:t>
      </w:r>
      <w:r w:rsidRPr="00000CFF">
        <w:rPr>
          <w:rFonts w:cs="Calibri"/>
        </w:rPr>
        <w:t xml:space="preserve"> Comprende la enumeración de cuentas ordenadas sistemáticamente e identificadas con nombres para distinguir tipo de partida de otras, para los fines del registro contable de las transacciones. </w:t>
      </w:r>
    </w:p>
    <w:p w14:paraId="61D6CCEC"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08805C45" w14:textId="224CF0A9" w:rsidR="00F836AC" w:rsidRPr="00000CFF" w:rsidRDefault="00000CFF"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Objeto del Gasto</w:t>
      </w:r>
      <w:r w:rsidR="00F836AC" w:rsidRPr="00000CFF">
        <w:rPr>
          <w:rFonts w:cs="Calibri"/>
          <w:b/>
        </w:rPr>
        <w:t>:</w:t>
      </w:r>
      <w:r w:rsidR="00F836AC" w:rsidRPr="00000CFF">
        <w:rPr>
          <w:rFonts w:cs="Calibri"/>
        </w:rPr>
        <w:t xml:space="preserve">  </w:t>
      </w:r>
      <w:r w:rsidRPr="00000CFF">
        <w:rPr>
          <w:rFonts w:cs="Calibri"/>
        </w:rPr>
        <w:t>Permite una clasificación de</w:t>
      </w:r>
      <w:r w:rsidR="00F836AC" w:rsidRPr="00000CFF">
        <w:rPr>
          <w:rFonts w:cs="Calibri"/>
        </w:rPr>
        <w:t xml:space="preserve"> las erogaciones, consistentes con criterios internacionales y con criterios contables,</w:t>
      </w:r>
      <w:r w:rsidR="00F836AC" w:rsidRPr="00F836AC">
        <w:rPr>
          <w:rFonts w:asciiTheme="minorHAnsi" w:hAnsiTheme="minorHAnsi" w:cstheme="minorHAnsi"/>
          <w:sz w:val="24"/>
          <w:szCs w:val="24"/>
        </w:rPr>
        <w:t xml:space="preserve"> </w:t>
      </w:r>
      <w:r w:rsidR="00F836AC" w:rsidRPr="00000CFF">
        <w:rPr>
          <w:rFonts w:cs="Calibri"/>
        </w:rPr>
        <w:t xml:space="preserve">claro, preciso, integral y útil que posibilita un adecuado registro y exposición de las operaciones y facilita la interrelación con las cuentas patrimoniales. </w:t>
      </w:r>
    </w:p>
    <w:p w14:paraId="25672745" w14:textId="77777777" w:rsidR="00B517A2" w:rsidRDefault="00B517A2" w:rsidP="00000CFF">
      <w:pPr>
        <w:widowControl w:val="0"/>
        <w:autoSpaceDE w:val="0"/>
        <w:autoSpaceDN w:val="0"/>
        <w:adjustRightInd w:val="0"/>
        <w:spacing w:before="3" w:after="0" w:line="240" w:lineRule="auto"/>
        <w:ind w:right="842"/>
        <w:jc w:val="both"/>
        <w:rPr>
          <w:rFonts w:cs="Calibri"/>
          <w:b/>
        </w:rPr>
      </w:pPr>
    </w:p>
    <w:p w14:paraId="3F607113" w14:textId="4664D5B4"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Rubro de Ingresos</w:t>
      </w:r>
      <w:r w:rsidRPr="00000CFF">
        <w:rPr>
          <w:rFonts w:cs="Calibri"/>
        </w:rPr>
        <w:t xml:space="preserve">: Ordena, agrupa y presenta los ingresos públicos en función de su diferente naturaleza y el carácter de las transacciones que le dan origen. </w:t>
      </w:r>
    </w:p>
    <w:p w14:paraId="71DEAD9B"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6B70CFF" w14:textId="77777777"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Lista de Cuentas:</w:t>
      </w:r>
      <w:r w:rsidRPr="00000CFF">
        <w:rPr>
          <w:rFonts w:cs="Calibri"/>
        </w:rPr>
        <w:t xml:space="preserve"> Es la relación ordenada y detallada de las cuentas contables, mediante las cuales se clasifican el activo, pasivo y hacienda pública o patrimonio, los ingresos, gastos públicos y cuentas de orden o memoranda. La cual está alineada a Plan de Cuentas y fue definida por el Poder Ejecutivo. </w:t>
      </w:r>
    </w:p>
    <w:p w14:paraId="377A4584"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68C9993D" w14:textId="49088F57"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Económico:</w:t>
      </w:r>
      <w:r w:rsidRPr="00000CFF">
        <w:rPr>
          <w:rFonts w:cs="Calibri"/>
        </w:rPr>
        <w:t xml:space="preserve">  permite ordenar a éstas de acuerdo con su naturaleza económica, con el propósito general de analizar y evaluar el impacto de la política y gestión fiscal y sus componentes sobre la economía en general.</w:t>
      </w:r>
    </w:p>
    <w:p w14:paraId="686FE6C7"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1908B385" w14:textId="51B10A7F"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Funcional del Gasto:</w:t>
      </w:r>
      <w:r w:rsidRPr="00000CFF">
        <w:rPr>
          <w:rFonts w:cs="Calibri"/>
        </w:rPr>
        <w:t xml:space="preserve"> Agrupa los gastos según los propósitos u objetivos socioeconómicos que persiguen los entes públicos.</w:t>
      </w:r>
    </w:p>
    <w:p w14:paraId="48BE9B9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562F3627" w14:textId="22471286" w:rsid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Fuente de Financiamiento:</w:t>
      </w:r>
      <w:r w:rsidRPr="00000CFF">
        <w:rPr>
          <w:rFonts w:cs="Calibri"/>
        </w:rPr>
        <w:t xml:space="preserve"> Nos permite presentar los gastos públicos según los agregados genéricos de los recursos empleados para su financiamiento.</w:t>
      </w:r>
    </w:p>
    <w:p w14:paraId="1B9E5681"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72767C6B" w14:textId="54BA281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Tipo de Gasto:</w:t>
      </w:r>
      <w:r w:rsidRPr="00000CFF">
        <w:rPr>
          <w:rFonts w:cs="Calibri"/>
        </w:rPr>
        <w:t xml:space="preserve">  Relaciona las transacciones públicas que </w:t>
      </w:r>
      <w:r w:rsidR="00000CFF" w:rsidRPr="00000CFF">
        <w:rPr>
          <w:rFonts w:cs="Calibri"/>
        </w:rPr>
        <w:t>generan gastos</w:t>
      </w:r>
      <w:r w:rsidRPr="00000CFF">
        <w:rPr>
          <w:rFonts w:cs="Calibri"/>
        </w:rPr>
        <w:t xml:space="preserve"> con los grandes agregados de la clasificación económica presentándolos en Corriente, de Capital y Amortización de la deuda y disminución de pasivos.</w:t>
      </w:r>
    </w:p>
    <w:p w14:paraId="56E3821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469012AD" w14:textId="668B5989"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Clasificación Administrativa:</w:t>
      </w:r>
      <w:r w:rsidRPr="00000CFF">
        <w:rPr>
          <w:rFonts w:cs="Calibri"/>
        </w:rPr>
        <w:t xml:space="preserve"> Identifica las unidades administrativas a través de las cuales se realiza la asignación, gestión y rendición de los recursos financieros públicos.</w:t>
      </w:r>
    </w:p>
    <w:p w14:paraId="20294FCA" w14:textId="04B411C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lastRenderedPageBreak/>
        <w:t>Clasificación Programática</w:t>
      </w:r>
      <w:r w:rsidRPr="00000CFF">
        <w:rPr>
          <w:rFonts w:cs="Calibri"/>
        </w:rPr>
        <w:t xml:space="preserve">:  </w:t>
      </w:r>
      <w:r w:rsidR="00000CFF" w:rsidRPr="00000CFF">
        <w:rPr>
          <w:rFonts w:cs="Calibri"/>
        </w:rPr>
        <w:t>Establece la</w:t>
      </w:r>
      <w:r w:rsidRPr="00000CFF">
        <w:rPr>
          <w:rFonts w:cs="Calibri"/>
        </w:rPr>
        <w:t xml:space="preserve"> clasificación de los programas presupuestarios de los entes públicos, que permitirá organizar, en forma representativa y homogénea, las asignaciones de recursos de los programas presupuestarios.</w:t>
      </w:r>
    </w:p>
    <w:p w14:paraId="6BE6C329"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ED9E060" w14:textId="3311FCB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Ingresos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6DA98AA8"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57818CAE" w14:textId="38B62EE3"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Egresos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32429C89"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1FFEC5D5" w14:textId="34A41E13"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Transparencia y Difusión:</w:t>
      </w:r>
      <w:r w:rsidRPr="00000CFF">
        <w:rPr>
          <w:rFonts w:cs="Calibri"/>
        </w:rPr>
        <w:t xml:space="preserve"> Permite generar la Información a difundir, relativa al Título V de la Ley General de Contabilidad Gubernamental, Ley de Transparencia y Acceso a la Información Pública del Estado de Guanajuato, así </w:t>
      </w:r>
      <w:r w:rsidR="00000CFF" w:rsidRPr="00000CFF">
        <w:rPr>
          <w:rFonts w:cs="Calibri"/>
        </w:rPr>
        <w:t>como la</w:t>
      </w:r>
      <w:r w:rsidRPr="00000CFF">
        <w:rPr>
          <w:rFonts w:cs="Calibri"/>
        </w:rPr>
        <w:t xml:space="preserve"> información </w:t>
      </w:r>
      <w:r w:rsidR="00000CFF" w:rsidRPr="00000CFF">
        <w:rPr>
          <w:rFonts w:cs="Calibri"/>
        </w:rPr>
        <w:t>financiera a</w:t>
      </w:r>
      <w:r w:rsidRPr="00000CFF">
        <w:rPr>
          <w:rFonts w:cs="Calibri"/>
        </w:rPr>
        <w:t xml:space="preserve"> que hace referencia la Ley de Disciplina Financiera de las Entidades Federativas y los Municipios</w:t>
      </w:r>
    </w:p>
    <w:p w14:paraId="58B00679" w14:textId="4B7F5F8A" w:rsidR="007D1E76" w:rsidRDefault="007D1E76" w:rsidP="00CB41C4">
      <w:pPr>
        <w:tabs>
          <w:tab w:val="left" w:leader="underscore" w:pos="9639"/>
        </w:tabs>
        <w:spacing w:after="0" w:line="240" w:lineRule="auto"/>
        <w:jc w:val="both"/>
        <w:rPr>
          <w:rFonts w:cs="Calibri"/>
        </w:rPr>
      </w:pPr>
    </w:p>
    <w:p w14:paraId="708101AE" w14:textId="77777777" w:rsidR="00E278FE" w:rsidRPr="00E74967" w:rsidRDefault="00E278FE"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4B44553" w14:textId="77777777" w:rsidR="00E278FE" w:rsidRDefault="00E278FE" w:rsidP="00E278FE">
      <w:pPr>
        <w:spacing w:after="0" w:line="240" w:lineRule="auto"/>
        <w:jc w:val="both"/>
        <w:rPr>
          <w:rFonts w:cs="Calibri"/>
        </w:rPr>
      </w:pPr>
    </w:p>
    <w:p w14:paraId="6C59D932" w14:textId="1D4C570D" w:rsidR="00E278FE" w:rsidRDefault="00E278FE" w:rsidP="00E278FE">
      <w:pPr>
        <w:spacing w:after="0" w:line="240" w:lineRule="auto"/>
        <w:jc w:val="both"/>
        <w:rPr>
          <w:rFonts w:cs="Calibri"/>
        </w:rPr>
      </w:pPr>
      <w:r w:rsidRPr="004D4D26">
        <w:rPr>
          <w:rFonts w:cs="Calibri"/>
        </w:rPr>
        <w:t>Todos los eventos que efectúa económicamente el ente son cuantificados en términos monetarios y se registran al costo histórico o económico más objetivo registrándose en moneda nacional.</w:t>
      </w:r>
    </w:p>
    <w:p w14:paraId="0062C8CC" w14:textId="77777777" w:rsidR="00E278FE" w:rsidRDefault="00E278FE" w:rsidP="00CB41C4">
      <w:pPr>
        <w:tabs>
          <w:tab w:val="left" w:leader="underscore" w:pos="9639"/>
        </w:tabs>
        <w:spacing w:after="0" w:line="240" w:lineRule="auto"/>
        <w:jc w:val="both"/>
        <w:rPr>
          <w:rFonts w:cs="Calibri"/>
          <w:b/>
        </w:rPr>
      </w:pPr>
    </w:p>
    <w:p w14:paraId="604A09B5" w14:textId="77777777" w:rsidR="00E278FE" w:rsidRDefault="00E278FE" w:rsidP="00CB41C4">
      <w:pPr>
        <w:tabs>
          <w:tab w:val="left" w:leader="underscore" w:pos="9639"/>
        </w:tabs>
        <w:spacing w:after="0" w:line="240" w:lineRule="auto"/>
        <w:jc w:val="both"/>
        <w:rPr>
          <w:rFonts w:cs="Calibri"/>
          <w:b/>
        </w:rPr>
      </w:pPr>
    </w:p>
    <w:p w14:paraId="7ED1C1ED" w14:textId="6B5C20F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868FB6B" w14:textId="77777777" w:rsidR="00E278FE" w:rsidRPr="00E74967" w:rsidRDefault="00E278FE" w:rsidP="00CB41C4">
      <w:pPr>
        <w:tabs>
          <w:tab w:val="left" w:leader="underscore" w:pos="9639"/>
        </w:tabs>
        <w:spacing w:after="0" w:line="240" w:lineRule="auto"/>
        <w:jc w:val="both"/>
        <w:rPr>
          <w:rFonts w:cs="Calibri"/>
        </w:rPr>
      </w:pPr>
    </w:p>
    <w:p w14:paraId="43365F96" w14:textId="6947F620" w:rsidR="00E278FE" w:rsidRPr="004D4D26" w:rsidRDefault="00E278FE" w:rsidP="00E278FE">
      <w:pPr>
        <w:pStyle w:val="Prrafodelista"/>
        <w:numPr>
          <w:ilvl w:val="0"/>
          <w:numId w:val="3"/>
        </w:numPr>
        <w:jc w:val="both"/>
        <w:rPr>
          <w:rFonts w:cs="Calibri"/>
        </w:rPr>
      </w:pPr>
      <w:r w:rsidRPr="004D4D26">
        <w:rPr>
          <w:rFonts w:cs="Calibri"/>
        </w:rPr>
        <w:t>SUSTANCIA ECONÓMICA</w:t>
      </w:r>
    </w:p>
    <w:p w14:paraId="17FDDE3A" w14:textId="77777777" w:rsidR="00E278FE" w:rsidRPr="004D4D26" w:rsidRDefault="00E278FE" w:rsidP="00E278FE">
      <w:pPr>
        <w:pStyle w:val="Prrafodelista"/>
        <w:numPr>
          <w:ilvl w:val="0"/>
          <w:numId w:val="3"/>
        </w:numPr>
        <w:jc w:val="both"/>
        <w:rPr>
          <w:rFonts w:cs="Calibri"/>
        </w:rPr>
      </w:pPr>
      <w:r w:rsidRPr="004D4D26">
        <w:rPr>
          <w:rFonts w:cs="Calibri"/>
        </w:rPr>
        <w:t>ENTES PÚBLICOS</w:t>
      </w:r>
    </w:p>
    <w:p w14:paraId="01431DA8" w14:textId="77777777" w:rsidR="00E278FE" w:rsidRPr="004D4D26" w:rsidRDefault="00E278FE" w:rsidP="00E278FE">
      <w:pPr>
        <w:pStyle w:val="Prrafodelista"/>
        <w:numPr>
          <w:ilvl w:val="0"/>
          <w:numId w:val="3"/>
        </w:numPr>
        <w:jc w:val="both"/>
        <w:rPr>
          <w:rFonts w:cs="Calibri"/>
        </w:rPr>
      </w:pPr>
      <w:r w:rsidRPr="004D4D26">
        <w:rPr>
          <w:rFonts w:cs="Calibri"/>
        </w:rPr>
        <w:t>EXISTENCIA PERMANENTE</w:t>
      </w:r>
    </w:p>
    <w:p w14:paraId="06D56D8F" w14:textId="77777777" w:rsidR="00E278FE" w:rsidRPr="004D4D26" w:rsidRDefault="00E278FE" w:rsidP="00E278FE">
      <w:pPr>
        <w:pStyle w:val="Prrafodelista"/>
        <w:numPr>
          <w:ilvl w:val="0"/>
          <w:numId w:val="3"/>
        </w:numPr>
        <w:jc w:val="both"/>
        <w:rPr>
          <w:rFonts w:cs="Calibri"/>
        </w:rPr>
      </w:pPr>
      <w:r w:rsidRPr="004D4D26">
        <w:rPr>
          <w:rFonts w:cs="Calibri"/>
        </w:rPr>
        <w:t>REVELACIÓN SUFICIENTE</w:t>
      </w:r>
    </w:p>
    <w:p w14:paraId="44D8AAEA" w14:textId="77777777" w:rsidR="00E278FE" w:rsidRPr="004D4D26" w:rsidRDefault="00E278FE" w:rsidP="00E278FE">
      <w:pPr>
        <w:pStyle w:val="Prrafodelista"/>
        <w:numPr>
          <w:ilvl w:val="0"/>
          <w:numId w:val="3"/>
        </w:numPr>
        <w:jc w:val="both"/>
        <w:rPr>
          <w:rFonts w:cs="Calibri"/>
        </w:rPr>
      </w:pPr>
      <w:r w:rsidRPr="004D4D26">
        <w:rPr>
          <w:rFonts w:cs="Calibri"/>
        </w:rPr>
        <w:t>IMPORTANCIA RELATIVA</w:t>
      </w:r>
    </w:p>
    <w:p w14:paraId="4721BF8B" w14:textId="77777777" w:rsidR="00E278FE" w:rsidRPr="004D4D26" w:rsidRDefault="00E278FE" w:rsidP="00E278FE">
      <w:pPr>
        <w:pStyle w:val="Prrafodelista"/>
        <w:numPr>
          <w:ilvl w:val="0"/>
          <w:numId w:val="3"/>
        </w:numPr>
        <w:jc w:val="both"/>
        <w:rPr>
          <w:rFonts w:cs="Calibri"/>
        </w:rPr>
      </w:pPr>
      <w:r w:rsidRPr="004D4D26">
        <w:rPr>
          <w:rFonts w:cs="Calibri"/>
        </w:rPr>
        <w:t>REGISTRO E INTEGRACIÓN PRESUPUESTARIA</w:t>
      </w:r>
    </w:p>
    <w:p w14:paraId="74BE0246" w14:textId="77777777" w:rsidR="00E278FE" w:rsidRPr="004D4D26" w:rsidRDefault="00E278FE" w:rsidP="00E278FE">
      <w:pPr>
        <w:pStyle w:val="Prrafodelista"/>
        <w:numPr>
          <w:ilvl w:val="0"/>
          <w:numId w:val="3"/>
        </w:numPr>
        <w:jc w:val="both"/>
        <w:rPr>
          <w:rFonts w:cs="Calibri"/>
        </w:rPr>
      </w:pPr>
      <w:r w:rsidRPr="004D4D26">
        <w:rPr>
          <w:rFonts w:cs="Calibri"/>
        </w:rPr>
        <w:t>CONSOLIDACIÓN DE LA INFORMACIÓN FINANCIERA</w:t>
      </w:r>
    </w:p>
    <w:p w14:paraId="386A1BE9" w14:textId="77777777" w:rsidR="00E278FE" w:rsidRPr="004D4D26" w:rsidRDefault="00E278FE" w:rsidP="00E278FE">
      <w:pPr>
        <w:pStyle w:val="Prrafodelista"/>
        <w:numPr>
          <w:ilvl w:val="0"/>
          <w:numId w:val="3"/>
        </w:numPr>
        <w:jc w:val="both"/>
        <w:rPr>
          <w:rFonts w:cs="Calibri"/>
        </w:rPr>
      </w:pPr>
      <w:r w:rsidRPr="004D4D26">
        <w:rPr>
          <w:rFonts w:cs="Calibri"/>
        </w:rPr>
        <w:t>DEVENGO CONTABLE</w:t>
      </w:r>
    </w:p>
    <w:p w14:paraId="59BD8373" w14:textId="77777777" w:rsidR="00E278FE" w:rsidRPr="004D4D26" w:rsidRDefault="00E278FE" w:rsidP="00E278FE">
      <w:pPr>
        <w:pStyle w:val="Prrafodelista"/>
        <w:numPr>
          <w:ilvl w:val="0"/>
          <w:numId w:val="3"/>
        </w:numPr>
        <w:jc w:val="both"/>
        <w:rPr>
          <w:rFonts w:cs="Calibri"/>
        </w:rPr>
      </w:pPr>
      <w:r w:rsidRPr="004D4D26">
        <w:rPr>
          <w:rFonts w:cs="Calibri"/>
        </w:rPr>
        <w:t>VALUACIÓN</w:t>
      </w:r>
    </w:p>
    <w:p w14:paraId="5668A965" w14:textId="77777777" w:rsidR="00E278FE" w:rsidRPr="004D4D26" w:rsidRDefault="00E278FE" w:rsidP="00E278FE">
      <w:pPr>
        <w:pStyle w:val="Prrafodelista"/>
        <w:numPr>
          <w:ilvl w:val="0"/>
          <w:numId w:val="3"/>
        </w:numPr>
        <w:jc w:val="both"/>
        <w:rPr>
          <w:rFonts w:cs="Calibri"/>
        </w:rPr>
      </w:pPr>
      <w:r w:rsidRPr="004D4D26">
        <w:rPr>
          <w:rFonts w:cs="Calibri"/>
        </w:rPr>
        <w:t>DUALIDAD ECONÓMICA</w:t>
      </w:r>
    </w:p>
    <w:p w14:paraId="083760A3" w14:textId="77777777" w:rsidR="00E278FE" w:rsidRDefault="00E278FE" w:rsidP="00E278FE">
      <w:pPr>
        <w:pStyle w:val="Prrafodelista"/>
        <w:numPr>
          <w:ilvl w:val="0"/>
          <w:numId w:val="3"/>
        </w:numPr>
        <w:jc w:val="both"/>
        <w:rPr>
          <w:rFonts w:cs="Calibri"/>
        </w:rPr>
      </w:pPr>
      <w:r w:rsidRPr="004D4D26">
        <w:rPr>
          <w:rFonts w:cs="Calibri"/>
        </w:rPr>
        <w:t>CONSISTENCIA</w:t>
      </w:r>
    </w:p>
    <w:p w14:paraId="1CC2D59E" w14:textId="5E000E6D" w:rsidR="007D1E76" w:rsidRPr="00E74967" w:rsidRDefault="007D1E76" w:rsidP="00CB41C4">
      <w:pPr>
        <w:tabs>
          <w:tab w:val="left" w:leader="underscore" w:pos="9639"/>
        </w:tabs>
        <w:spacing w:after="0" w:line="240" w:lineRule="auto"/>
        <w:jc w:val="both"/>
        <w:rPr>
          <w:rFonts w:cs="Calibri"/>
        </w:rPr>
      </w:pPr>
    </w:p>
    <w:p w14:paraId="7989D893" w14:textId="361E72C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9262E8F" w14:textId="77777777" w:rsidR="00E278FE" w:rsidRPr="00E74967" w:rsidRDefault="00E278FE" w:rsidP="00CB41C4">
      <w:pPr>
        <w:tabs>
          <w:tab w:val="left" w:leader="underscore" w:pos="9639"/>
        </w:tabs>
        <w:spacing w:after="0" w:line="240" w:lineRule="auto"/>
        <w:jc w:val="both"/>
        <w:rPr>
          <w:rFonts w:cs="Calibri"/>
        </w:rPr>
      </w:pPr>
    </w:p>
    <w:p w14:paraId="30FA791A" w14:textId="575F115E" w:rsidR="00E278FE" w:rsidRPr="004D4D26" w:rsidRDefault="00E278FE" w:rsidP="00E278FE">
      <w:pPr>
        <w:jc w:val="both"/>
        <w:rPr>
          <w:rFonts w:cs="Calibri"/>
        </w:rPr>
      </w:pPr>
      <w:r w:rsidRPr="004D4D26">
        <w:rPr>
          <w:rFonts w:cs="Calibri"/>
        </w:rPr>
        <w:t>Actualmente solo se emplean las normas y procedimientos de la contabilidad gubernamental.</w:t>
      </w:r>
    </w:p>
    <w:p w14:paraId="084AD24A" w14:textId="731D37E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w:t>
      </w:r>
      <w:r w:rsidR="00E278FE"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05B9100"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3D67E86" w14:textId="345A4052" w:rsidR="006F57E5" w:rsidRDefault="006F57E5" w:rsidP="00CB41C4">
      <w:pPr>
        <w:tabs>
          <w:tab w:val="left" w:leader="underscore" w:pos="9639"/>
        </w:tabs>
        <w:spacing w:after="0" w:line="240" w:lineRule="auto"/>
        <w:jc w:val="both"/>
        <w:rPr>
          <w:rFonts w:cs="Calibri"/>
        </w:rPr>
      </w:pPr>
    </w:p>
    <w:p w14:paraId="2AC86206" w14:textId="059E0039" w:rsidR="006F57E5" w:rsidRPr="004D4D26" w:rsidRDefault="006F57E5" w:rsidP="006F57E5">
      <w:pPr>
        <w:jc w:val="both"/>
        <w:rPr>
          <w:rFonts w:cs="Calibri"/>
        </w:rPr>
      </w:pPr>
      <w:r w:rsidRPr="004D4D26">
        <w:rPr>
          <w:rFonts w:cs="Calibri"/>
        </w:rPr>
        <w:t>Se trabaja con el programa SAP para poder llevar todos los momentos contables como se requieren de acuerdo a la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5A8381D"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517D9756" w14:textId="1CCB9757" w:rsidR="006F57E5" w:rsidRDefault="006F57E5" w:rsidP="00CB41C4">
      <w:pPr>
        <w:tabs>
          <w:tab w:val="left" w:leader="underscore" w:pos="9639"/>
        </w:tabs>
        <w:spacing w:after="0" w:line="240" w:lineRule="auto"/>
        <w:jc w:val="both"/>
        <w:rPr>
          <w:rFonts w:cs="Calibri"/>
        </w:rPr>
      </w:pPr>
    </w:p>
    <w:p w14:paraId="2D630C3C" w14:textId="19B7194C" w:rsidR="006F57E5" w:rsidRPr="004D4D26" w:rsidRDefault="006F57E5" w:rsidP="006F57E5">
      <w:pPr>
        <w:jc w:val="both"/>
        <w:rPr>
          <w:rFonts w:cs="Calibri"/>
        </w:rPr>
      </w:pPr>
      <w:r>
        <w:rPr>
          <w:rFonts w:cs="Calibri"/>
        </w:rPr>
        <w:t>Desde el ejercicio 2013 s</w:t>
      </w:r>
      <w:r w:rsidRPr="004D4D26">
        <w:rPr>
          <w:rFonts w:cs="Calibri"/>
        </w:rPr>
        <w:t>e trabaja con el programa del SAP para llevar el control presupuestal y contable de acuerdo a las normas emitidas por el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983014" w14:textId="77777777" w:rsidR="006F57E5" w:rsidRDefault="006F57E5" w:rsidP="006F57E5">
      <w:pPr>
        <w:tabs>
          <w:tab w:val="left" w:leader="underscore" w:pos="9639"/>
        </w:tabs>
        <w:spacing w:after="0" w:line="240" w:lineRule="auto"/>
        <w:jc w:val="both"/>
        <w:rPr>
          <w:rFonts w:cs="Calibri"/>
        </w:rPr>
      </w:pPr>
    </w:p>
    <w:p w14:paraId="3591C780" w14:textId="2A9E9A74" w:rsidR="006F57E5" w:rsidRDefault="006F57E5" w:rsidP="006F57E5">
      <w:pPr>
        <w:tabs>
          <w:tab w:val="left" w:leader="underscore" w:pos="9639"/>
        </w:tabs>
        <w:spacing w:after="0" w:line="240" w:lineRule="auto"/>
        <w:jc w:val="both"/>
        <w:rPr>
          <w:rFonts w:cs="Calibri"/>
        </w:rPr>
      </w:pPr>
      <w:r>
        <w:rPr>
          <w:rFonts w:cs="Calibri"/>
        </w:rPr>
        <w:t>No hay cambios.</w:t>
      </w:r>
    </w:p>
    <w:p w14:paraId="158EC49E" w14:textId="645A64FC" w:rsidR="007D1E76"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4D98FB0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E35959" w14:textId="77777777" w:rsidR="006F57E5" w:rsidRPr="00E74967" w:rsidRDefault="006F57E5" w:rsidP="00CB41C4">
      <w:pPr>
        <w:tabs>
          <w:tab w:val="left" w:leader="underscore" w:pos="9639"/>
        </w:tabs>
        <w:spacing w:after="0" w:line="240" w:lineRule="auto"/>
        <w:jc w:val="both"/>
        <w:rPr>
          <w:rFonts w:cs="Calibri"/>
        </w:rPr>
      </w:pPr>
    </w:p>
    <w:p w14:paraId="4604A2E2" w14:textId="4230DA63" w:rsidR="00000CFF" w:rsidRPr="00000CFF" w:rsidRDefault="00000CFF" w:rsidP="00000CFF">
      <w:pPr>
        <w:spacing w:after="0" w:line="240" w:lineRule="auto"/>
        <w:ind w:right="624"/>
        <w:jc w:val="both"/>
        <w:rPr>
          <w:rFonts w:cs="Calibri"/>
        </w:rPr>
      </w:pPr>
      <w:r w:rsidRPr="00000CFF">
        <w:rPr>
          <w:rFonts w:cs="Calibri"/>
        </w:rPr>
        <w:t xml:space="preserve">Se utiliza el método de depreciación en línea recta por la vida útil determinada por el </w:t>
      </w:r>
      <w:r w:rsidR="00B32688" w:rsidRPr="00000CFF">
        <w:rPr>
          <w:rFonts w:cs="Calibri"/>
        </w:rPr>
        <w:t>CONAC, a</w:t>
      </w:r>
      <w:r w:rsidRPr="00000CFF">
        <w:rPr>
          <w:rFonts w:cs="Calibri"/>
        </w:rPr>
        <w:t xml:space="preserve"> meses completos después de su capitalización.</w:t>
      </w:r>
    </w:p>
    <w:p w14:paraId="004A4D32" w14:textId="4F35C117" w:rsidR="007D1E76" w:rsidRDefault="007D1E76" w:rsidP="00CB41C4">
      <w:pPr>
        <w:tabs>
          <w:tab w:val="left" w:leader="underscore" w:pos="9639"/>
        </w:tabs>
        <w:spacing w:after="0" w:line="240" w:lineRule="auto"/>
        <w:jc w:val="both"/>
        <w:rPr>
          <w:rFonts w:cs="Calibri"/>
        </w:rPr>
      </w:pPr>
    </w:p>
    <w:p w14:paraId="5C3D6A3E" w14:textId="77777777" w:rsidR="006F57E5" w:rsidRPr="00E74967" w:rsidRDefault="006F57E5"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0265DDF"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121446C1" w14:textId="11AC0AC8"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operaciones en el extranjero.</w:t>
      </w:r>
    </w:p>
    <w:p w14:paraId="35FCED94" w14:textId="289FC134" w:rsidR="007D1E76" w:rsidRDefault="007D1E76" w:rsidP="00CB41C4">
      <w:pPr>
        <w:tabs>
          <w:tab w:val="left" w:leader="underscore" w:pos="9639"/>
        </w:tabs>
        <w:spacing w:after="0" w:line="240" w:lineRule="auto"/>
        <w:jc w:val="both"/>
        <w:rPr>
          <w:rFonts w:cs="Calibri"/>
        </w:rPr>
      </w:pPr>
    </w:p>
    <w:p w14:paraId="13C3A363" w14:textId="77777777" w:rsidR="006F57E5" w:rsidRPr="00E74967" w:rsidRDefault="006F57E5"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540FA0D"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62A03AB0" w14:textId="52CE0920"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inversiones.</w:t>
      </w:r>
    </w:p>
    <w:p w14:paraId="2EA4933C" w14:textId="44F01B40" w:rsidR="007D1E76" w:rsidRDefault="007D1E76" w:rsidP="00CB41C4">
      <w:pPr>
        <w:tabs>
          <w:tab w:val="left" w:leader="underscore" w:pos="9639"/>
        </w:tabs>
        <w:spacing w:after="0" w:line="240" w:lineRule="auto"/>
        <w:jc w:val="both"/>
        <w:rPr>
          <w:rFonts w:cs="Calibri"/>
        </w:rPr>
      </w:pPr>
    </w:p>
    <w:p w14:paraId="4A523D3E" w14:textId="77777777" w:rsidR="006F57E5" w:rsidRPr="00E74967" w:rsidRDefault="006F57E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F8D77D0" w14:textId="77777777" w:rsidR="006F57E5" w:rsidRDefault="006F57E5" w:rsidP="006F57E5">
      <w:pPr>
        <w:tabs>
          <w:tab w:val="left" w:leader="underscore" w:pos="9639"/>
        </w:tabs>
        <w:spacing w:after="0" w:line="240" w:lineRule="auto"/>
        <w:jc w:val="both"/>
        <w:rPr>
          <w:rFonts w:cs="Calibri"/>
        </w:rPr>
      </w:pPr>
    </w:p>
    <w:p w14:paraId="2FE2B2BC" w14:textId="6F75F0C0" w:rsidR="006F57E5" w:rsidRDefault="006F57E5" w:rsidP="006F57E5">
      <w:pPr>
        <w:tabs>
          <w:tab w:val="left" w:leader="underscore" w:pos="9639"/>
        </w:tabs>
        <w:spacing w:after="0" w:line="240" w:lineRule="auto"/>
        <w:jc w:val="both"/>
        <w:rPr>
          <w:rFonts w:cs="Calibri"/>
        </w:rPr>
      </w:pPr>
      <w:r>
        <w:rPr>
          <w:rFonts w:cs="Calibri"/>
        </w:rPr>
        <w:t>Levantamientos físicos de inventarios semestralmente, no aplica costo de lo vendido.</w:t>
      </w:r>
    </w:p>
    <w:p w14:paraId="1D8C904A" w14:textId="6D26FDD6"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8775F" w14:textId="77777777" w:rsidR="007B170C" w:rsidRDefault="007B170C" w:rsidP="007B170C">
      <w:pPr>
        <w:spacing w:after="0" w:line="240" w:lineRule="auto"/>
        <w:jc w:val="both"/>
        <w:rPr>
          <w:rFonts w:cs="Calibri"/>
        </w:rPr>
      </w:pPr>
    </w:p>
    <w:p w14:paraId="4F51EC6C" w14:textId="3A2EB23C" w:rsidR="007B170C" w:rsidRPr="004D4D26" w:rsidRDefault="007B170C" w:rsidP="007B170C">
      <w:pPr>
        <w:spacing w:after="0" w:line="240" w:lineRule="auto"/>
        <w:jc w:val="both"/>
        <w:rPr>
          <w:rFonts w:cs="Calibri"/>
        </w:rPr>
      </w:pPr>
      <w:r w:rsidRPr="004D4D26">
        <w:rPr>
          <w:rFonts w:cs="Calibri"/>
        </w:rPr>
        <w:t xml:space="preserve">Aparte del sueldo se cuenta con las prestaciones del 2% sobre el sueldo por fondo de ahorro y </w:t>
      </w:r>
      <w:r w:rsidRPr="001F12BC">
        <w:rPr>
          <w:rFonts w:cs="Calibri"/>
        </w:rPr>
        <w:t>el</w:t>
      </w:r>
      <w:r>
        <w:rPr>
          <w:rFonts w:cs="Calibri"/>
        </w:rPr>
        <w:t xml:space="preserve"> 7</w:t>
      </w:r>
      <w:r w:rsidRPr="004D4D26">
        <w:rPr>
          <w:rFonts w:cs="Calibri"/>
        </w:rPr>
        <w:t xml:space="preserve">% sobre el sueldo </w:t>
      </w:r>
      <w:r>
        <w:rPr>
          <w:rFonts w:cs="Calibri"/>
        </w:rPr>
        <w:t xml:space="preserve">para </w:t>
      </w:r>
      <w:r w:rsidRPr="001F12BC">
        <w:rPr>
          <w:rFonts w:cs="Calibri"/>
        </w:rPr>
        <w:t>despensa.</w:t>
      </w:r>
    </w:p>
    <w:p w14:paraId="6636D845" w14:textId="7E2EC24C" w:rsidR="007D1E76" w:rsidRDefault="007D1E76" w:rsidP="00CB41C4">
      <w:pPr>
        <w:tabs>
          <w:tab w:val="left" w:leader="underscore" w:pos="9639"/>
        </w:tabs>
        <w:spacing w:after="0" w:line="240" w:lineRule="auto"/>
        <w:jc w:val="both"/>
        <w:rPr>
          <w:rFonts w:cs="Calibri"/>
        </w:rPr>
      </w:pPr>
    </w:p>
    <w:p w14:paraId="62E0E42E" w14:textId="77777777" w:rsidR="007B170C" w:rsidRPr="00E74967" w:rsidRDefault="007B170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6D571DE"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7630DAB9" w14:textId="5E510FBB"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provisiones.</w:t>
      </w:r>
    </w:p>
    <w:p w14:paraId="0AB44A38" w14:textId="7F88FF93" w:rsidR="007D1E76" w:rsidRDefault="007D1E76" w:rsidP="00CB41C4">
      <w:pPr>
        <w:tabs>
          <w:tab w:val="left" w:leader="underscore" w:pos="9639"/>
        </w:tabs>
        <w:spacing w:after="0" w:line="240" w:lineRule="auto"/>
        <w:jc w:val="both"/>
        <w:rPr>
          <w:rFonts w:cs="Calibri"/>
        </w:rPr>
      </w:pPr>
    </w:p>
    <w:p w14:paraId="45C1A92E" w14:textId="77777777" w:rsidR="007B170C" w:rsidRPr="00E74967" w:rsidRDefault="007B170C"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32E71D"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6357D385" w14:textId="53E9E63F"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reservas.</w:t>
      </w:r>
    </w:p>
    <w:p w14:paraId="48187B92" w14:textId="15C6D144" w:rsidR="007D1E76" w:rsidRDefault="007D1E76" w:rsidP="00CB41C4">
      <w:pPr>
        <w:tabs>
          <w:tab w:val="left" w:leader="underscore" w:pos="9639"/>
        </w:tabs>
        <w:spacing w:after="0" w:line="240" w:lineRule="auto"/>
        <w:jc w:val="both"/>
        <w:rPr>
          <w:rFonts w:cs="Calibri"/>
        </w:rPr>
      </w:pPr>
    </w:p>
    <w:p w14:paraId="0756D441" w14:textId="77777777" w:rsidR="007B170C" w:rsidRPr="00E74967" w:rsidRDefault="007B170C"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A9B916E"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6A61C37" w14:textId="0A69096F"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 ni correcciones.</w:t>
      </w:r>
    </w:p>
    <w:p w14:paraId="2B6668A3" w14:textId="46B115F3" w:rsidR="007D1E76" w:rsidRDefault="007D1E76" w:rsidP="00CB41C4">
      <w:pPr>
        <w:tabs>
          <w:tab w:val="left" w:leader="underscore" w:pos="9639"/>
        </w:tabs>
        <w:spacing w:after="0" w:line="240" w:lineRule="auto"/>
        <w:jc w:val="both"/>
        <w:rPr>
          <w:rFonts w:cs="Calibri"/>
        </w:rPr>
      </w:pPr>
    </w:p>
    <w:p w14:paraId="12A3EC2A" w14:textId="77777777" w:rsidR="000A681B" w:rsidRPr="00E74967" w:rsidRDefault="000A681B"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8FD3434"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5E966E3" w14:textId="66B0D58B"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reclasificaciones.</w:t>
      </w:r>
    </w:p>
    <w:p w14:paraId="6E29C8B6" w14:textId="329BE1BE" w:rsidR="007D1E76" w:rsidRDefault="007D1E76" w:rsidP="00CB41C4">
      <w:pPr>
        <w:tabs>
          <w:tab w:val="left" w:leader="underscore" w:pos="9639"/>
        </w:tabs>
        <w:spacing w:after="0" w:line="240" w:lineRule="auto"/>
        <w:jc w:val="both"/>
        <w:rPr>
          <w:rFonts w:cs="Calibri"/>
        </w:rPr>
      </w:pPr>
    </w:p>
    <w:p w14:paraId="21301064" w14:textId="77777777" w:rsidR="000A681B" w:rsidRPr="00E74967" w:rsidRDefault="000A681B"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FE30AC"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57D331D" w14:textId="4C4FAF20"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depurado ni cancelado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DB72FC3"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54803D6" w14:textId="62B1E551"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43F08C55" w14:textId="640424C0" w:rsidR="007D1E76" w:rsidRDefault="007D1E76" w:rsidP="00CB41C4">
      <w:pPr>
        <w:tabs>
          <w:tab w:val="left" w:leader="underscore" w:pos="9639"/>
        </w:tabs>
        <w:spacing w:after="0" w:line="240" w:lineRule="auto"/>
        <w:jc w:val="both"/>
        <w:rPr>
          <w:rFonts w:cs="Calibri"/>
        </w:rPr>
      </w:pPr>
    </w:p>
    <w:p w14:paraId="0E02D35D" w14:textId="77777777" w:rsidR="000A681B" w:rsidRPr="00E74967" w:rsidRDefault="000A681B"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1E0C6B"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C08AF23" w14:textId="0840FC5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6237A156"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8ED5915" w14:textId="051A6F97"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24F0C91" w14:textId="77777777" w:rsidR="000A681B" w:rsidRDefault="000A681B" w:rsidP="00CB41C4">
      <w:pPr>
        <w:tabs>
          <w:tab w:val="left" w:leader="underscore" w:pos="9639"/>
        </w:tabs>
        <w:spacing w:after="0" w:line="240" w:lineRule="auto"/>
        <w:jc w:val="both"/>
        <w:rPr>
          <w:rFonts w:cs="Calibri"/>
          <w:b/>
        </w:rPr>
      </w:pPr>
    </w:p>
    <w:p w14:paraId="1E201F33" w14:textId="77777777" w:rsidR="000A681B" w:rsidRDefault="000A681B" w:rsidP="00CB41C4">
      <w:pPr>
        <w:tabs>
          <w:tab w:val="left" w:leader="underscore" w:pos="9639"/>
        </w:tabs>
        <w:spacing w:after="0" w:line="240" w:lineRule="auto"/>
        <w:jc w:val="both"/>
        <w:rPr>
          <w:rFonts w:cs="Calibri"/>
          <w:b/>
        </w:rPr>
      </w:pPr>
    </w:p>
    <w:p w14:paraId="61291BC6" w14:textId="6B4A580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FCE25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2E62EF8C" w14:textId="160939D8"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146CAEC1" w14:textId="014ADC64" w:rsidR="007D1E76" w:rsidRDefault="007D1E76" w:rsidP="00CB41C4">
      <w:pPr>
        <w:tabs>
          <w:tab w:val="left" w:leader="underscore" w:pos="9639"/>
        </w:tabs>
        <w:spacing w:after="0" w:line="240" w:lineRule="auto"/>
        <w:jc w:val="both"/>
        <w:rPr>
          <w:rFonts w:cs="Calibri"/>
        </w:rPr>
      </w:pPr>
    </w:p>
    <w:p w14:paraId="2FF58FAB" w14:textId="77777777" w:rsidR="000A681B" w:rsidRPr="00E74967" w:rsidRDefault="000A681B"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93526A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AEBCC7C" w14:textId="584FD1E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3BA699C" w14:textId="08A05EC7" w:rsidR="007D1E76" w:rsidRDefault="007D1E76" w:rsidP="00CB41C4">
      <w:pPr>
        <w:tabs>
          <w:tab w:val="left" w:leader="underscore" w:pos="9639"/>
        </w:tabs>
        <w:spacing w:after="0" w:line="240" w:lineRule="auto"/>
        <w:jc w:val="both"/>
        <w:rPr>
          <w:rFonts w:cs="Calibri"/>
        </w:rPr>
      </w:pPr>
    </w:p>
    <w:p w14:paraId="0B60BE5B" w14:textId="77777777" w:rsidR="000A681B" w:rsidRPr="00E74967" w:rsidRDefault="000A681B"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2583DDCE" w:rsidR="007D1E76"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4EE0DF6F" w14:textId="35743F8D" w:rsidR="0005229E" w:rsidRDefault="0005229E" w:rsidP="00CB41C4">
      <w:pPr>
        <w:tabs>
          <w:tab w:val="left" w:leader="underscore" w:pos="9639"/>
        </w:tabs>
        <w:spacing w:after="0" w:line="240" w:lineRule="auto"/>
        <w:jc w:val="both"/>
        <w:rPr>
          <w:rFonts w:cs="Calibri"/>
        </w:rPr>
      </w:pPr>
    </w:p>
    <w:p w14:paraId="47B6D7FE" w14:textId="77777777" w:rsidR="0005229E" w:rsidRPr="00E74967" w:rsidRDefault="0005229E"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69B28D3" w14:textId="77777777" w:rsidR="00725F90" w:rsidRDefault="00725F90" w:rsidP="00725F90">
      <w:pPr>
        <w:spacing w:after="0" w:line="240" w:lineRule="auto"/>
        <w:jc w:val="both"/>
        <w:rPr>
          <w:rFonts w:cs="Calibri"/>
        </w:rPr>
      </w:pPr>
    </w:p>
    <w:p w14:paraId="617FA489" w14:textId="2A5128E8" w:rsidR="00725F90" w:rsidRPr="006637FA" w:rsidRDefault="00725F90" w:rsidP="00725F90">
      <w:pPr>
        <w:spacing w:after="0" w:line="240" w:lineRule="auto"/>
        <w:jc w:val="both"/>
        <w:rPr>
          <w:rFonts w:cs="Calibri"/>
        </w:rPr>
      </w:pPr>
      <w:r w:rsidRPr="006637FA">
        <w:rPr>
          <w:rFonts w:cs="Calibri"/>
        </w:rPr>
        <w:t>Se realiza de acuerdo a las políticas aplicadas por el programa SAP.</w:t>
      </w:r>
    </w:p>
    <w:p w14:paraId="2B914A04" w14:textId="3A41316D" w:rsidR="007D1E76" w:rsidRDefault="007D1E76" w:rsidP="00CB41C4">
      <w:pPr>
        <w:tabs>
          <w:tab w:val="left" w:leader="underscore" w:pos="9639"/>
        </w:tabs>
        <w:spacing w:after="0" w:line="240" w:lineRule="auto"/>
        <w:jc w:val="both"/>
        <w:rPr>
          <w:rFonts w:cs="Calibri"/>
        </w:rPr>
      </w:pPr>
    </w:p>
    <w:p w14:paraId="721202A7" w14:textId="77777777" w:rsidR="00725F90" w:rsidRDefault="00725F90"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84A422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E0221B3" w14:textId="615BC2BA"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w:t>
      </w:r>
    </w:p>
    <w:p w14:paraId="59A0596F" w14:textId="23A435DB" w:rsidR="007D1E76" w:rsidRDefault="007D1E76" w:rsidP="00CB41C4">
      <w:pPr>
        <w:tabs>
          <w:tab w:val="left" w:leader="underscore" w:pos="9639"/>
        </w:tabs>
        <w:spacing w:after="0" w:line="240" w:lineRule="auto"/>
        <w:jc w:val="both"/>
        <w:rPr>
          <w:rFonts w:cs="Calibri"/>
        </w:rPr>
      </w:pPr>
    </w:p>
    <w:p w14:paraId="6DB2CFEC" w14:textId="77777777" w:rsidR="00725F90" w:rsidRPr="00E74967" w:rsidRDefault="00725F90"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3DD49A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70A426D" w14:textId="5BF4A7F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gastos capitalizados.</w:t>
      </w:r>
    </w:p>
    <w:p w14:paraId="389FC7C1" w14:textId="74DC3ABA" w:rsidR="007D1E76" w:rsidRDefault="007D1E76" w:rsidP="00CB41C4">
      <w:pPr>
        <w:tabs>
          <w:tab w:val="left" w:leader="underscore" w:pos="9639"/>
        </w:tabs>
        <w:spacing w:after="0" w:line="240" w:lineRule="auto"/>
        <w:jc w:val="both"/>
        <w:rPr>
          <w:rFonts w:cs="Calibri"/>
        </w:rPr>
      </w:pPr>
    </w:p>
    <w:p w14:paraId="3FC5D8E6" w14:textId="77777777" w:rsidR="00725F90" w:rsidRPr="00E74967" w:rsidRDefault="00725F90"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274D4A6"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7733BB8" w14:textId="6440BBE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inversiones.</w:t>
      </w:r>
    </w:p>
    <w:p w14:paraId="1883BF45" w14:textId="7061604C" w:rsidR="007D1E76" w:rsidRDefault="007D1E76" w:rsidP="00CB41C4">
      <w:pPr>
        <w:tabs>
          <w:tab w:val="left" w:leader="underscore" w:pos="9639"/>
        </w:tabs>
        <w:spacing w:after="0" w:line="240" w:lineRule="auto"/>
        <w:jc w:val="both"/>
        <w:rPr>
          <w:rFonts w:cs="Calibri"/>
        </w:rPr>
      </w:pPr>
    </w:p>
    <w:p w14:paraId="62B83041" w14:textId="77777777" w:rsidR="00725F90" w:rsidRPr="00E74967" w:rsidRDefault="00725F90"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FC475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2652565" w14:textId="01B6757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no hay bienes construidos.</w:t>
      </w:r>
    </w:p>
    <w:p w14:paraId="2E17CB0A" w14:textId="2131F6A3" w:rsidR="007D1E76" w:rsidRDefault="007D1E76" w:rsidP="00CB41C4">
      <w:pPr>
        <w:tabs>
          <w:tab w:val="left" w:leader="underscore" w:pos="9639"/>
        </w:tabs>
        <w:spacing w:after="0" w:line="240" w:lineRule="auto"/>
        <w:jc w:val="both"/>
        <w:rPr>
          <w:rFonts w:cs="Calibri"/>
          <w:b/>
        </w:rPr>
      </w:pPr>
    </w:p>
    <w:p w14:paraId="14CFA163" w14:textId="77777777" w:rsidR="00725F90" w:rsidRPr="00E74967" w:rsidRDefault="00725F90"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40DB49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8DEFBB4" w14:textId="23E85B92"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ninguna circunstancia que afecte el activo.</w:t>
      </w:r>
    </w:p>
    <w:p w14:paraId="6FD1B4E4" w14:textId="3AD6C3FA" w:rsidR="007D1E76" w:rsidRDefault="007D1E76" w:rsidP="00CB41C4">
      <w:pPr>
        <w:tabs>
          <w:tab w:val="left" w:leader="underscore" w:pos="9639"/>
        </w:tabs>
        <w:spacing w:after="0" w:line="240" w:lineRule="auto"/>
        <w:jc w:val="both"/>
        <w:rPr>
          <w:rFonts w:cs="Calibri"/>
        </w:rPr>
      </w:pPr>
    </w:p>
    <w:p w14:paraId="5C290EC8" w14:textId="77777777" w:rsidR="00725F90" w:rsidRPr="00E74967" w:rsidRDefault="00725F90"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8A34AB"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8B49085" w14:textId="5CF56756"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desmantelado activos.</w:t>
      </w:r>
    </w:p>
    <w:p w14:paraId="46AC9102" w14:textId="642962F1" w:rsidR="007D1E76" w:rsidRDefault="007D1E76" w:rsidP="00CB41C4">
      <w:pPr>
        <w:tabs>
          <w:tab w:val="left" w:leader="underscore" w:pos="9639"/>
        </w:tabs>
        <w:spacing w:after="0" w:line="240" w:lineRule="auto"/>
        <w:jc w:val="both"/>
        <w:rPr>
          <w:rFonts w:cs="Calibri"/>
        </w:rPr>
      </w:pPr>
    </w:p>
    <w:p w14:paraId="22C5A1CD" w14:textId="77777777" w:rsidR="00725F90" w:rsidRPr="00E74967" w:rsidRDefault="00725F90"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532235B" w14:textId="77777777" w:rsidR="00725F90" w:rsidRDefault="00725F90" w:rsidP="00725F90">
      <w:pPr>
        <w:spacing w:after="0" w:line="240" w:lineRule="auto"/>
        <w:jc w:val="both"/>
        <w:rPr>
          <w:rFonts w:cs="Calibri"/>
        </w:rPr>
      </w:pPr>
    </w:p>
    <w:p w14:paraId="45676F01" w14:textId="6323F31A" w:rsidR="00725F90" w:rsidRPr="006637FA" w:rsidRDefault="00725F90" w:rsidP="00725F90">
      <w:pPr>
        <w:spacing w:after="0" w:line="240" w:lineRule="auto"/>
        <w:jc w:val="both"/>
        <w:rPr>
          <w:rFonts w:cs="Calibri"/>
        </w:rPr>
      </w:pPr>
      <w:r w:rsidRPr="006637FA">
        <w:rPr>
          <w:rFonts w:cs="Calibri"/>
        </w:rPr>
        <w:t>Anualmente se realiza un recuento físico de los activos, verificando su utilidad o si es conveniente un cambio de adscripción, así como determinar las necesidades de compra.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38D4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4317841A" w14:textId="7CF2C33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inversiones.</w:t>
      </w:r>
    </w:p>
    <w:p w14:paraId="320A5492" w14:textId="77777777" w:rsidR="00725F90" w:rsidRDefault="00725F90" w:rsidP="00CB41C4">
      <w:pPr>
        <w:tabs>
          <w:tab w:val="left" w:leader="underscore" w:pos="9639"/>
        </w:tabs>
        <w:spacing w:after="0" w:line="240" w:lineRule="auto"/>
        <w:jc w:val="both"/>
        <w:rPr>
          <w:rFonts w:cs="Calibri"/>
          <w:b/>
        </w:rPr>
      </w:pPr>
    </w:p>
    <w:p w14:paraId="422E792D" w14:textId="77777777" w:rsidR="00725F90" w:rsidRDefault="00725F90" w:rsidP="00CB41C4">
      <w:pPr>
        <w:tabs>
          <w:tab w:val="left" w:leader="underscore" w:pos="9639"/>
        </w:tabs>
        <w:spacing w:after="0" w:line="240" w:lineRule="auto"/>
        <w:jc w:val="both"/>
        <w:rPr>
          <w:rFonts w:cs="Calibri"/>
          <w:b/>
        </w:rPr>
      </w:pPr>
    </w:p>
    <w:p w14:paraId="7F294F69" w14:textId="56C4424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9D72DC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1E3DEEA" w14:textId="6584FC7D"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76C39C" w14:textId="2340CBD7" w:rsidR="007D1E76" w:rsidRDefault="007D1E76" w:rsidP="00CB41C4">
      <w:pPr>
        <w:tabs>
          <w:tab w:val="left" w:leader="underscore" w:pos="9639"/>
        </w:tabs>
        <w:spacing w:after="0" w:line="240" w:lineRule="auto"/>
        <w:jc w:val="both"/>
        <w:rPr>
          <w:rFonts w:cs="Calibri"/>
        </w:rPr>
      </w:pPr>
    </w:p>
    <w:p w14:paraId="07D8B17A" w14:textId="77777777" w:rsidR="00725F90" w:rsidRPr="00E74967" w:rsidRDefault="00725F90"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E06358"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94169A1" w14:textId="4721D475"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6CDDC4A5" w14:textId="77777777" w:rsidR="00725F90" w:rsidRDefault="00725F90" w:rsidP="00CB41C4">
      <w:pPr>
        <w:tabs>
          <w:tab w:val="left" w:leader="underscore" w:pos="9639"/>
        </w:tabs>
        <w:spacing w:after="0" w:line="240" w:lineRule="auto"/>
        <w:jc w:val="both"/>
        <w:rPr>
          <w:rFonts w:cs="Calibri"/>
          <w:b/>
        </w:rPr>
      </w:pPr>
    </w:p>
    <w:p w14:paraId="6FE681AE" w14:textId="77777777" w:rsidR="00725F90" w:rsidRDefault="00725F90" w:rsidP="00CB41C4">
      <w:pPr>
        <w:tabs>
          <w:tab w:val="left" w:leader="underscore" w:pos="9639"/>
        </w:tabs>
        <w:spacing w:after="0" w:line="240" w:lineRule="auto"/>
        <w:jc w:val="both"/>
        <w:rPr>
          <w:rFonts w:cs="Calibri"/>
          <w:b/>
        </w:rPr>
      </w:pPr>
    </w:p>
    <w:p w14:paraId="02D4B80A" w14:textId="26F3BEAC"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6E30C54"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C93F7A7" w14:textId="5D364ADE"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199F0C37" w14:textId="06340431" w:rsidR="007D1E76" w:rsidRDefault="007D1E76" w:rsidP="00CB41C4">
      <w:pPr>
        <w:tabs>
          <w:tab w:val="left" w:leader="underscore" w:pos="9639"/>
        </w:tabs>
        <w:spacing w:after="0" w:line="240" w:lineRule="auto"/>
        <w:jc w:val="both"/>
        <w:rPr>
          <w:rFonts w:cs="Calibri"/>
        </w:rPr>
      </w:pPr>
    </w:p>
    <w:p w14:paraId="1491735E" w14:textId="77777777" w:rsidR="00725F90" w:rsidRPr="00E74967" w:rsidRDefault="00725F9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30D07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FC606A7" w14:textId="52EEED28"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supuesto.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A69900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EF4FEEB" w14:textId="4200F952"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2010752E" w14:textId="285CC3A8" w:rsidR="007D1E76" w:rsidRDefault="007D1E76" w:rsidP="00CB41C4">
      <w:pPr>
        <w:tabs>
          <w:tab w:val="left" w:leader="underscore" w:pos="9639"/>
        </w:tabs>
        <w:spacing w:after="0" w:line="240" w:lineRule="auto"/>
        <w:jc w:val="both"/>
        <w:rPr>
          <w:rFonts w:cs="Calibri"/>
        </w:rPr>
      </w:pPr>
    </w:p>
    <w:p w14:paraId="09CABA82" w14:textId="77777777" w:rsidR="00725F90" w:rsidRPr="00E74967" w:rsidRDefault="00725F90"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46C0F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3F82E2A" w14:textId="09CFC860"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03AB3A3A" w14:textId="079ACDC5" w:rsidR="007D1E76"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D05B50" w14:textId="77777777" w:rsidR="00725F90" w:rsidRDefault="00725F90" w:rsidP="00725F90">
      <w:pPr>
        <w:spacing w:after="0" w:line="240" w:lineRule="auto"/>
        <w:jc w:val="both"/>
        <w:rPr>
          <w:rFonts w:cs="Calibri"/>
        </w:rPr>
      </w:pPr>
    </w:p>
    <w:p w14:paraId="21136848" w14:textId="02B2FFB8" w:rsidR="00725F90" w:rsidRDefault="00725F90" w:rsidP="00725F90">
      <w:pPr>
        <w:spacing w:after="0" w:line="240" w:lineRule="auto"/>
        <w:jc w:val="both"/>
        <w:rPr>
          <w:rFonts w:cs="Calibri"/>
        </w:rPr>
      </w:pPr>
      <w:r w:rsidRPr="00396D23">
        <w:rPr>
          <w:rFonts w:cs="Calibri"/>
        </w:rPr>
        <w:t>La recaudación al 3</w:t>
      </w:r>
      <w:r w:rsidR="00F1339B">
        <w:rPr>
          <w:rFonts w:cs="Calibri"/>
        </w:rPr>
        <w:t>0</w:t>
      </w:r>
      <w:r w:rsidRPr="00396D23">
        <w:rPr>
          <w:rFonts w:cs="Calibri"/>
        </w:rPr>
        <w:t xml:space="preserve"> de </w:t>
      </w:r>
      <w:r w:rsidR="00F1339B">
        <w:rPr>
          <w:rFonts w:cs="Calibri"/>
        </w:rPr>
        <w:t>junio</w:t>
      </w:r>
      <w:r>
        <w:rPr>
          <w:rFonts w:cs="Calibri"/>
        </w:rPr>
        <w:t xml:space="preserve"> del</w:t>
      </w:r>
      <w:r w:rsidRPr="00396D23">
        <w:rPr>
          <w:rFonts w:cs="Calibri"/>
        </w:rPr>
        <w:t xml:space="preserve"> 201</w:t>
      </w:r>
      <w:r>
        <w:rPr>
          <w:rFonts w:cs="Calibri"/>
        </w:rPr>
        <w:t>9</w:t>
      </w:r>
      <w:r w:rsidRPr="00396D23">
        <w:rPr>
          <w:rFonts w:cs="Calibri"/>
        </w:rPr>
        <w:t xml:space="preserve"> es la siguiente:</w:t>
      </w:r>
    </w:p>
    <w:p w14:paraId="61316EC5" w14:textId="1FF04828" w:rsidR="00F1339B" w:rsidRDefault="00F1339B" w:rsidP="00725F90">
      <w:pPr>
        <w:spacing w:after="0" w:line="240" w:lineRule="auto"/>
        <w:jc w:val="both"/>
        <w:rPr>
          <w:rFonts w:cs="Calibri"/>
        </w:rPr>
      </w:pPr>
    </w:p>
    <w:p w14:paraId="600CE58B" w14:textId="7B9BF832" w:rsidR="00F1339B" w:rsidRDefault="00F1339B" w:rsidP="00725F90">
      <w:pPr>
        <w:spacing w:after="0" w:line="240" w:lineRule="auto"/>
        <w:jc w:val="both"/>
        <w:rPr>
          <w:rFonts w:cs="Calibri"/>
        </w:rPr>
      </w:pPr>
    </w:p>
    <w:tbl>
      <w:tblPr>
        <w:tblW w:w="6180" w:type="dxa"/>
        <w:jc w:val="center"/>
        <w:tblCellMar>
          <w:left w:w="70" w:type="dxa"/>
          <w:right w:w="70" w:type="dxa"/>
        </w:tblCellMar>
        <w:tblLook w:val="04A0" w:firstRow="1" w:lastRow="0" w:firstColumn="1" w:lastColumn="0" w:noHBand="0" w:noVBand="1"/>
      </w:tblPr>
      <w:tblGrid>
        <w:gridCol w:w="1120"/>
        <w:gridCol w:w="3400"/>
        <w:gridCol w:w="1660"/>
      </w:tblGrid>
      <w:tr w:rsidR="00F1339B" w:rsidRPr="00F1339B" w14:paraId="71D4C6AB" w14:textId="77777777" w:rsidTr="00F1339B">
        <w:trPr>
          <w:trHeight w:val="300"/>
          <w:jc w:val="center"/>
        </w:trPr>
        <w:tc>
          <w:tcPr>
            <w:tcW w:w="1120" w:type="dxa"/>
            <w:tcBorders>
              <w:top w:val="nil"/>
              <w:left w:val="nil"/>
              <w:bottom w:val="nil"/>
              <w:right w:val="nil"/>
            </w:tcBorders>
            <w:shd w:val="clear" w:color="000000" w:fill="1F4E78"/>
            <w:vAlign w:val="center"/>
            <w:hideMark/>
          </w:tcPr>
          <w:p w14:paraId="2E6A54D9"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4045C560"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DENOMINACIÓN</w:t>
            </w:r>
          </w:p>
        </w:tc>
        <w:tc>
          <w:tcPr>
            <w:tcW w:w="1660" w:type="dxa"/>
            <w:tcBorders>
              <w:top w:val="nil"/>
              <w:left w:val="nil"/>
              <w:bottom w:val="nil"/>
              <w:right w:val="nil"/>
            </w:tcBorders>
            <w:shd w:val="clear" w:color="000000" w:fill="1F4E78"/>
            <w:vAlign w:val="center"/>
            <w:hideMark/>
          </w:tcPr>
          <w:p w14:paraId="4FB1C4B9"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ACUMULADO</w:t>
            </w:r>
          </w:p>
        </w:tc>
      </w:tr>
      <w:tr w:rsidR="00F1339B" w:rsidRPr="00F1339B" w14:paraId="7FC2D889" w14:textId="77777777" w:rsidTr="00F1339B">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0AD689AE"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636C9FEA" w14:textId="77777777" w:rsidR="00F1339B" w:rsidRPr="00F1339B" w:rsidRDefault="00F1339B" w:rsidP="00F1339B">
            <w:pPr>
              <w:spacing w:after="0" w:line="240" w:lineRule="auto"/>
              <w:jc w:val="center"/>
              <w:rPr>
                <w:rFonts w:eastAsia="Times New Roman" w:cs="Calibri"/>
                <w:b/>
                <w:bCs/>
                <w:color w:val="FFFFFF"/>
                <w:sz w:val="16"/>
                <w:szCs w:val="16"/>
                <w:lang w:eastAsia="es-MX"/>
              </w:rPr>
            </w:pPr>
          </w:p>
        </w:tc>
        <w:tc>
          <w:tcPr>
            <w:tcW w:w="1660" w:type="dxa"/>
            <w:tcBorders>
              <w:top w:val="single" w:sz="4" w:space="0" w:color="auto"/>
              <w:left w:val="nil"/>
              <w:bottom w:val="single" w:sz="4" w:space="0" w:color="auto"/>
              <w:right w:val="single" w:sz="4" w:space="0" w:color="auto"/>
            </w:tcBorders>
            <w:shd w:val="clear" w:color="000000" w:fill="2F75B5"/>
            <w:vAlign w:val="center"/>
            <w:hideMark/>
          </w:tcPr>
          <w:p w14:paraId="593FCDB1" w14:textId="77777777" w:rsidR="00F1339B" w:rsidRPr="00F1339B" w:rsidRDefault="00F1339B" w:rsidP="0005229E">
            <w:pPr>
              <w:spacing w:after="0" w:line="240" w:lineRule="auto"/>
              <w:jc w:val="right"/>
              <w:rPr>
                <w:rFonts w:eastAsia="Times New Roman" w:cs="Calibri"/>
                <w:b/>
                <w:bCs/>
                <w:color w:val="FFFFFF"/>
                <w:sz w:val="16"/>
                <w:szCs w:val="16"/>
                <w:lang w:eastAsia="es-MX"/>
              </w:rPr>
            </w:pPr>
            <w:r w:rsidRPr="00F1339B">
              <w:rPr>
                <w:rFonts w:eastAsia="Times New Roman" w:cs="Calibri"/>
                <w:b/>
                <w:bCs/>
                <w:color w:val="FFFFFF"/>
                <w:sz w:val="16"/>
                <w:szCs w:val="16"/>
                <w:lang w:eastAsia="es-MX"/>
              </w:rPr>
              <w:t xml:space="preserve">                 17,824,567.76 </w:t>
            </w:r>
          </w:p>
        </w:tc>
      </w:tr>
      <w:tr w:rsidR="00F1339B" w:rsidRPr="00F1339B" w14:paraId="11CE09CB"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0FA0CC8"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43C94F2A"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1CEED780"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w:t>
            </w:r>
          </w:p>
        </w:tc>
      </w:tr>
      <w:tr w:rsidR="00F1339B" w:rsidRPr="00F1339B" w14:paraId="03F848E7"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285A5E61"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 </w:t>
            </w:r>
          </w:p>
        </w:tc>
        <w:tc>
          <w:tcPr>
            <w:tcW w:w="3400" w:type="dxa"/>
            <w:tcBorders>
              <w:top w:val="nil"/>
              <w:left w:val="nil"/>
              <w:bottom w:val="single" w:sz="4" w:space="0" w:color="auto"/>
              <w:right w:val="single" w:sz="4" w:space="0" w:color="auto"/>
            </w:tcBorders>
            <w:shd w:val="clear" w:color="000000" w:fill="9DC4E6"/>
            <w:vAlign w:val="center"/>
            <w:hideMark/>
          </w:tcPr>
          <w:p w14:paraId="2DE37A78"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 </w:t>
            </w:r>
          </w:p>
        </w:tc>
        <w:tc>
          <w:tcPr>
            <w:tcW w:w="1660" w:type="dxa"/>
            <w:tcBorders>
              <w:top w:val="nil"/>
              <w:left w:val="nil"/>
              <w:bottom w:val="single" w:sz="4" w:space="0" w:color="auto"/>
              <w:right w:val="single" w:sz="4" w:space="0" w:color="auto"/>
            </w:tcBorders>
            <w:shd w:val="clear" w:color="000000" w:fill="9DC4E6"/>
            <w:vAlign w:val="center"/>
            <w:hideMark/>
          </w:tcPr>
          <w:p w14:paraId="0ADE0F29"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733,284.92 </w:t>
            </w:r>
          </w:p>
        </w:tc>
      </w:tr>
      <w:tr w:rsidR="00F1339B" w:rsidRPr="00F1339B" w14:paraId="6D014D14"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7117173"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080501</w:t>
            </w:r>
          </w:p>
        </w:tc>
        <w:tc>
          <w:tcPr>
            <w:tcW w:w="3400" w:type="dxa"/>
            <w:tcBorders>
              <w:top w:val="nil"/>
              <w:left w:val="nil"/>
              <w:bottom w:val="single" w:sz="4" w:space="0" w:color="auto"/>
              <w:right w:val="single" w:sz="4" w:space="0" w:color="auto"/>
            </w:tcBorders>
            <w:shd w:val="clear" w:color="auto" w:fill="auto"/>
            <w:vAlign w:val="center"/>
            <w:hideMark/>
          </w:tcPr>
          <w:p w14:paraId="233A371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REMANENTE RECURSOS PROPIOS</w:t>
            </w:r>
          </w:p>
        </w:tc>
        <w:tc>
          <w:tcPr>
            <w:tcW w:w="1660" w:type="dxa"/>
            <w:tcBorders>
              <w:top w:val="nil"/>
              <w:left w:val="nil"/>
              <w:bottom w:val="single" w:sz="4" w:space="0" w:color="auto"/>
              <w:right w:val="single" w:sz="4" w:space="0" w:color="auto"/>
            </w:tcBorders>
            <w:shd w:val="clear" w:color="auto" w:fill="auto"/>
            <w:vAlign w:val="center"/>
            <w:hideMark/>
          </w:tcPr>
          <w:p w14:paraId="0B5F95C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733,284.92 </w:t>
            </w:r>
          </w:p>
        </w:tc>
      </w:tr>
      <w:tr w:rsidR="00F1339B" w:rsidRPr="00F1339B" w14:paraId="6C1E1DBB"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5F6E00A"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 </w:t>
            </w:r>
          </w:p>
        </w:tc>
        <w:tc>
          <w:tcPr>
            <w:tcW w:w="3400" w:type="dxa"/>
            <w:tcBorders>
              <w:top w:val="nil"/>
              <w:left w:val="nil"/>
              <w:bottom w:val="nil"/>
              <w:right w:val="nil"/>
            </w:tcBorders>
            <w:shd w:val="clear" w:color="auto" w:fill="auto"/>
            <w:vAlign w:val="center"/>
            <w:hideMark/>
          </w:tcPr>
          <w:p w14:paraId="4AFDCF80" w14:textId="77777777" w:rsidR="00F1339B" w:rsidRPr="00F1339B" w:rsidRDefault="00F1339B" w:rsidP="00F1339B">
            <w:pPr>
              <w:spacing w:after="0" w:line="240" w:lineRule="auto"/>
              <w:jc w:val="center"/>
              <w:rPr>
                <w:rFonts w:eastAsia="Times New Roman" w:cs="Calibri"/>
                <w:color w:val="000000"/>
                <w:sz w:val="16"/>
                <w:szCs w:val="16"/>
                <w:lang w:eastAsia="es-MX"/>
              </w:rPr>
            </w:pPr>
          </w:p>
        </w:tc>
        <w:tc>
          <w:tcPr>
            <w:tcW w:w="1660" w:type="dxa"/>
            <w:tcBorders>
              <w:top w:val="nil"/>
              <w:left w:val="nil"/>
              <w:bottom w:val="single" w:sz="4" w:space="0" w:color="auto"/>
              <w:right w:val="single" w:sz="4" w:space="0" w:color="auto"/>
            </w:tcBorders>
            <w:shd w:val="clear" w:color="auto" w:fill="auto"/>
            <w:vAlign w:val="center"/>
            <w:hideMark/>
          </w:tcPr>
          <w:p w14:paraId="060E429C"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 </w:t>
            </w:r>
          </w:p>
        </w:tc>
      </w:tr>
      <w:tr w:rsidR="00F1339B" w:rsidRPr="00F1339B" w14:paraId="238AF641"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2F75B5"/>
            <w:vAlign w:val="center"/>
            <w:hideMark/>
          </w:tcPr>
          <w:p w14:paraId="5A677E93"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4F6FC01E" w14:textId="77777777" w:rsidR="00F1339B" w:rsidRPr="00F1339B" w:rsidRDefault="00F1339B" w:rsidP="00F1339B">
            <w:pPr>
              <w:spacing w:after="0" w:line="240" w:lineRule="auto"/>
              <w:jc w:val="center"/>
              <w:rPr>
                <w:rFonts w:eastAsia="Times New Roman" w:cs="Calibri"/>
                <w:b/>
                <w:bCs/>
                <w:color w:val="FFFFFF"/>
                <w:sz w:val="16"/>
                <w:szCs w:val="16"/>
                <w:lang w:eastAsia="es-MX"/>
              </w:rPr>
            </w:pPr>
          </w:p>
        </w:tc>
        <w:tc>
          <w:tcPr>
            <w:tcW w:w="1660" w:type="dxa"/>
            <w:tcBorders>
              <w:top w:val="nil"/>
              <w:left w:val="nil"/>
              <w:bottom w:val="single" w:sz="4" w:space="0" w:color="auto"/>
              <w:right w:val="single" w:sz="4" w:space="0" w:color="auto"/>
            </w:tcBorders>
            <w:shd w:val="clear" w:color="000000" w:fill="2F75B5"/>
            <w:vAlign w:val="center"/>
            <w:hideMark/>
          </w:tcPr>
          <w:p w14:paraId="0D2A1C43" w14:textId="77777777" w:rsidR="00F1339B" w:rsidRPr="00F1339B" w:rsidRDefault="00F1339B" w:rsidP="0005229E">
            <w:pPr>
              <w:spacing w:after="0" w:line="240" w:lineRule="auto"/>
              <w:jc w:val="right"/>
              <w:rPr>
                <w:rFonts w:eastAsia="Times New Roman" w:cs="Calibri"/>
                <w:b/>
                <w:bCs/>
                <w:color w:val="FFFFFF"/>
                <w:sz w:val="16"/>
                <w:szCs w:val="16"/>
                <w:lang w:eastAsia="es-MX"/>
              </w:rPr>
            </w:pPr>
            <w:r w:rsidRPr="00F1339B">
              <w:rPr>
                <w:rFonts w:eastAsia="Times New Roman" w:cs="Calibri"/>
                <w:b/>
                <w:bCs/>
                <w:color w:val="FFFFFF"/>
                <w:sz w:val="16"/>
                <w:szCs w:val="16"/>
                <w:lang w:eastAsia="es-MX"/>
              </w:rPr>
              <w:t xml:space="preserve">                 17,091,282.84 </w:t>
            </w:r>
          </w:p>
        </w:tc>
      </w:tr>
      <w:tr w:rsidR="00F1339B" w:rsidRPr="00F1339B" w14:paraId="0FBBF09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2515F322"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561D18D2"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PRODUCTOS  </w:t>
            </w:r>
          </w:p>
        </w:tc>
        <w:tc>
          <w:tcPr>
            <w:tcW w:w="1660" w:type="dxa"/>
            <w:tcBorders>
              <w:top w:val="nil"/>
              <w:left w:val="nil"/>
              <w:bottom w:val="single" w:sz="4" w:space="0" w:color="auto"/>
              <w:right w:val="single" w:sz="4" w:space="0" w:color="auto"/>
            </w:tcBorders>
            <w:shd w:val="clear" w:color="000000" w:fill="1F4E78"/>
            <w:vAlign w:val="center"/>
            <w:hideMark/>
          </w:tcPr>
          <w:p w14:paraId="354E1658" w14:textId="77777777" w:rsidR="00F1339B" w:rsidRPr="00F1339B" w:rsidRDefault="00F1339B" w:rsidP="0005229E">
            <w:pPr>
              <w:spacing w:after="0" w:line="240" w:lineRule="auto"/>
              <w:jc w:val="right"/>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2,096,557.14 </w:t>
            </w:r>
          </w:p>
        </w:tc>
      </w:tr>
      <w:tr w:rsidR="00F1339B" w:rsidRPr="00F1339B" w14:paraId="62962B4E"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380949F6"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5767474B"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PRODUCTOS </w:t>
            </w:r>
          </w:p>
        </w:tc>
        <w:tc>
          <w:tcPr>
            <w:tcW w:w="1660" w:type="dxa"/>
            <w:tcBorders>
              <w:top w:val="nil"/>
              <w:left w:val="nil"/>
              <w:bottom w:val="single" w:sz="4" w:space="0" w:color="auto"/>
              <w:right w:val="single" w:sz="4" w:space="0" w:color="auto"/>
            </w:tcBorders>
            <w:shd w:val="clear" w:color="000000" w:fill="9DC4E6"/>
            <w:vAlign w:val="center"/>
            <w:hideMark/>
          </w:tcPr>
          <w:p w14:paraId="3026FBC9"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2,096,557.14 </w:t>
            </w:r>
          </w:p>
        </w:tc>
      </w:tr>
      <w:tr w:rsidR="00F1339B" w:rsidRPr="00F1339B" w14:paraId="415B106E"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6082EA5"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72F24B9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DEL AUDITORIO</w:t>
            </w:r>
          </w:p>
        </w:tc>
        <w:tc>
          <w:tcPr>
            <w:tcW w:w="1660" w:type="dxa"/>
            <w:tcBorders>
              <w:top w:val="nil"/>
              <w:left w:val="nil"/>
              <w:bottom w:val="single" w:sz="4" w:space="0" w:color="auto"/>
              <w:right w:val="single" w:sz="4" w:space="0" w:color="auto"/>
            </w:tcBorders>
            <w:shd w:val="clear" w:color="auto" w:fill="auto"/>
            <w:vAlign w:val="center"/>
            <w:hideMark/>
          </w:tcPr>
          <w:p w14:paraId="544A4C39"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1,403,418.40 </w:t>
            </w:r>
          </w:p>
        </w:tc>
      </w:tr>
      <w:tr w:rsidR="00F1339B" w:rsidRPr="00F1339B" w14:paraId="0D8A6F3A"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92311D"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4C73079E"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DE LA BANDA MUNICIPAL</w:t>
            </w:r>
          </w:p>
        </w:tc>
        <w:tc>
          <w:tcPr>
            <w:tcW w:w="1660" w:type="dxa"/>
            <w:tcBorders>
              <w:top w:val="nil"/>
              <w:left w:val="nil"/>
              <w:bottom w:val="single" w:sz="4" w:space="0" w:color="auto"/>
              <w:right w:val="single" w:sz="4" w:space="0" w:color="auto"/>
            </w:tcBorders>
            <w:shd w:val="clear" w:color="auto" w:fill="auto"/>
            <w:vAlign w:val="center"/>
            <w:hideMark/>
          </w:tcPr>
          <w:p w14:paraId="73F80951"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3,686.00 </w:t>
            </w:r>
          </w:p>
        </w:tc>
      </w:tr>
      <w:tr w:rsidR="00F1339B" w:rsidRPr="00F1339B" w14:paraId="25A2D9D1"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2D9AEDC"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4415D688"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ENTRADAS AL MUSEO DE CELAYA</w:t>
            </w:r>
          </w:p>
        </w:tc>
        <w:tc>
          <w:tcPr>
            <w:tcW w:w="1660" w:type="dxa"/>
            <w:tcBorders>
              <w:top w:val="nil"/>
              <w:left w:val="nil"/>
              <w:bottom w:val="single" w:sz="4" w:space="0" w:color="auto"/>
              <w:right w:val="single" w:sz="4" w:space="0" w:color="auto"/>
            </w:tcBorders>
            <w:shd w:val="clear" w:color="auto" w:fill="auto"/>
            <w:vAlign w:val="center"/>
            <w:hideMark/>
          </w:tcPr>
          <w:p w14:paraId="14D40A7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53,563.00 </w:t>
            </w:r>
          </w:p>
        </w:tc>
      </w:tr>
      <w:tr w:rsidR="00F1339B" w:rsidRPr="00F1339B" w14:paraId="445BD48D"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38AE530"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32876078"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 ESPACIOS</w:t>
            </w:r>
          </w:p>
        </w:tc>
        <w:tc>
          <w:tcPr>
            <w:tcW w:w="1660" w:type="dxa"/>
            <w:tcBorders>
              <w:top w:val="nil"/>
              <w:left w:val="nil"/>
              <w:bottom w:val="single" w:sz="4" w:space="0" w:color="auto"/>
              <w:right w:val="single" w:sz="4" w:space="0" w:color="auto"/>
            </w:tcBorders>
            <w:shd w:val="clear" w:color="auto" w:fill="auto"/>
            <w:vAlign w:val="center"/>
            <w:hideMark/>
          </w:tcPr>
          <w:p w14:paraId="0E8CA327"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180,632.00 </w:t>
            </w:r>
          </w:p>
        </w:tc>
      </w:tr>
      <w:tr w:rsidR="00F1339B" w:rsidRPr="00F1339B" w14:paraId="29D7AB9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1F606B5"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510105</w:t>
            </w:r>
          </w:p>
        </w:tc>
        <w:tc>
          <w:tcPr>
            <w:tcW w:w="3400" w:type="dxa"/>
            <w:tcBorders>
              <w:top w:val="nil"/>
              <w:left w:val="nil"/>
              <w:bottom w:val="single" w:sz="4" w:space="0" w:color="auto"/>
              <w:right w:val="single" w:sz="4" w:space="0" w:color="auto"/>
            </w:tcBorders>
            <w:shd w:val="clear" w:color="auto" w:fill="auto"/>
            <w:vAlign w:val="center"/>
            <w:hideMark/>
          </w:tcPr>
          <w:p w14:paraId="266C0D4C"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ENTRADAS AL MUSEO OCTAVIO OCAMPO</w:t>
            </w:r>
          </w:p>
        </w:tc>
        <w:tc>
          <w:tcPr>
            <w:tcW w:w="1660" w:type="dxa"/>
            <w:tcBorders>
              <w:top w:val="nil"/>
              <w:left w:val="nil"/>
              <w:bottom w:val="single" w:sz="4" w:space="0" w:color="auto"/>
              <w:right w:val="single" w:sz="4" w:space="0" w:color="auto"/>
            </w:tcBorders>
            <w:shd w:val="clear" w:color="auto" w:fill="auto"/>
            <w:vAlign w:val="center"/>
            <w:hideMark/>
          </w:tcPr>
          <w:p w14:paraId="1A46D149"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96,655.00 </w:t>
            </w:r>
          </w:p>
        </w:tc>
      </w:tr>
      <w:tr w:rsidR="00F1339B" w:rsidRPr="00F1339B" w14:paraId="3D12EFF3"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DECA66"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6B077F46"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19AA8091"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12,873.00 </w:t>
            </w:r>
          </w:p>
        </w:tc>
      </w:tr>
      <w:tr w:rsidR="00F1339B" w:rsidRPr="00F1339B" w14:paraId="3A0E9E65"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A8C1CBD"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0C3741E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 GALERIAS DEL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3EE6DF3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169,460.00 </w:t>
            </w:r>
          </w:p>
        </w:tc>
      </w:tr>
      <w:tr w:rsidR="00F1339B" w:rsidRPr="00F1339B" w14:paraId="1D27FE1A"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DF58DD"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lastRenderedPageBreak/>
              <w:t>510108</w:t>
            </w:r>
          </w:p>
        </w:tc>
        <w:tc>
          <w:tcPr>
            <w:tcW w:w="3400" w:type="dxa"/>
            <w:tcBorders>
              <w:top w:val="nil"/>
              <w:left w:val="nil"/>
              <w:bottom w:val="single" w:sz="4" w:space="0" w:color="auto"/>
              <w:right w:val="single" w:sz="4" w:space="0" w:color="auto"/>
            </w:tcBorders>
            <w:shd w:val="clear" w:color="auto" w:fill="auto"/>
            <w:vAlign w:val="center"/>
            <w:hideMark/>
          </w:tcPr>
          <w:p w14:paraId="5C60FDC2"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 SANITARIOS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0FF3F5C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351.00 </w:t>
            </w:r>
          </w:p>
        </w:tc>
      </w:tr>
      <w:tr w:rsidR="00F1339B" w:rsidRPr="00F1339B" w14:paraId="35C5177C"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24BF121"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566E55FB"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DEL FORO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61E5539A"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15D56F1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522B009"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7EC827C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SALA DE CONFERENCIAS Y TALLERES</w:t>
            </w:r>
          </w:p>
        </w:tc>
        <w:tc>
          <w:tcPr>
            <w:tcW w:w="1660" w:type="dxa"/>
            <w:tcBorders>
              <w:top w:val="nil"/>
              <w:left w:val="nil"/>
              <w:bottom w:val="single" w:sz="4" w:space="0" w:color="auto"/>
              <w:right w:val="single" w:sz="4" w:space="0" w:color="auto"/>
            </w:tcBorders>
            <w:shd w:val="clear" w:color="auto" w:fill="auto"/>
            <w:vAlign w:val="center"/>
            <w:hideMark/>
          </w:tcPr>
          <w:p w14:paraId="5FA9F2D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2,000.00 </w:t>
            </w:r>
          </w:p>
        </w:tc>
      </w:tr>
      <w:tr w:rsidR="00F1339B" w:rsidRPr="00F1339B" w14:paraId="0677BF8F"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81337B8"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544D656F"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ESTACIONAMIENTO</w:t>
            </w:r>
          </w:p>
        </w:tc>
        <w:tc>
          <w:tcPr>
            <w:tcW w:w="1660" w:type="dxa"/>
            <w:tcBorders>
              <w:top w:val="nil"/>
              <w:left w:val="nil"/>
              <w:bottom w:val="single" w:sz="4" w:space="0" w:color="auto"/>
              <w:right w:val="single" w:sz="4" w:space="0" w:color="auto"/>
            </w:tcBorders>
            <w:shd w:val="clear" w:color="auto" w:fill="auto"/>
            <w:vAlign w:val="center"/>
            <w:hideMark/>
          </w:tcPr>
          <w:p w14:paraId="38393A20"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311CD3B4"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AFC93F0"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510112</w:t>
            </w:r>
          </w:p>
        </w:tc>
        <w:tc>
          <w:tcPr>
            <w:tcW w:w="3400" w:type="dxa"/>
            <w:tcBorders>
              <w:top w:val="nil"/>
              <w:left w:val="nil"/>
              <w:bottom w:val="single" w:sz="4" w:space="0" w:color="auto"/>
              <w:right w:val="single" w:sz="4" w:space="0" w:color="auto"/>
            </w:tcBorders>
            <w:shd w:val="clear" w:color="auto" w:fill="auto"/>
            <w:vAlign w:val="center"/>
            <w:hideMark/>
          </w:tcPr>
          <w:p w14:paraId="06C42081"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OTROS PRODUCTOS</w:t>
            </w:r>
          </w:p>
        </w:tc>
        <w:tc>
          <w:tcPr>
            <w:tcW w:w="1660" w:type="dxa"/>
            <w:tcBorders>
              <w:top w:val="nil"/>
              <w:left w:val="nil"/>
              <w:bottom w:val="single" w:sz="4" w:space="0" w:color="auto"/>
              <w:right w:val="single" w:sz="4" w:space="0" w:color="auto"/>
            </w:tcBorders>
            <w:shd w:val="clear" w:color="auto" w:fill="auto"/>
            <w:vAlign w:val="center"/>
            <w:hideMark/>
          </w:tcPr>
          <w:p w14:paraId="2D1F9ED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173,918.74 </w:t>
            </w:r>
          </w:p>
        </w:tc>
      </w:tr>
      <w:tr w:rsidR="00F1339B" w:rsidRPr="00F1339B" w14:paraId="7AB1806D" w14:textId="77777777" w:rsidTr="00F1339B">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39F26C12"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2428B38D"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INGRESOS POR VENTA DE BIENES, PRESTACIÓN DE SERVICIOS Y OTROS INGRESOS</w:t>
            </w:r>
          </w:p>
        </w:tc>
        <w:tc>
          <w:tcPr>
            <w:tcW w:w="1660" w:type="dxa"/>
            <w:tcBorders>
              <w:top w:val="nil"/>
              <w:left w:val="nil"/>
              <w:bottom w:val="single" w:sz="4" w:space="0" w:color="auto"/>
              <w:right w:val="single" w:sz="4" w:space="0" w:color="auto"/>
            </w:tcBorders>
            <w:shd w:val="clear" w:color="000000" w:fill="1F4E78"/>
            <w:vAlign w:val="center"/>
            <w:hideMark/>
          </w:tcPr>
          <w:p w14:paraId="487CE6DD"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2,143,505.70 </w:t>
            </w:r>
          </w:p>
        </w:tc>
      </w:tr>
      <w:tr w:rsidR="00F1339B" w:rsidRPr="00F1339B" w14:paraId="7106928F" w14:textId="77777777" w:rsidTr="00F1339B">
        <w:trPr>
          <w:trHeight w:val="9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698D521"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30350C76"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660" w:type="dxa"/>
            <w:tcBorders>
              <w:top w:val="nil"/>
              <w:left w:val="nil"/>
              <w:bottom w:val="single" w:sz="4" w:space="0" w:color="auto"/>
              <w:right w:val="single" w:sz="4" w:space="0" w:color="auto"/>
            </w:tcBorders>
            <w:shd w:val="clear" w:color="000000" w:fill="9DC4E6"/>
            <w:vAlign w:val="center"/>
            <w:hideMark/>
          </w:tcPr>
          <w:p w14:paraId="7E2BCA8E"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2,142,538.70 </w:t>
            </w:r>
          </w:p>
        </w:tc>
      </w:tr>
      <w:tr w:rsidR="00F1339B" w:rsidRPr="00F1339B" w14:paraId="0E232052"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316439"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15DEA451"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CUOTAS DE INSCRIPCIONES CASA DE LA CULTURA</w:t>
            </w:r>
          </w:p>
        </w:tc>
        <w:tc>
          <w:tcPr>
            <w:tcW w:w="1660" w:type="dxa"/>
            <w:tcBorders>
              <w:top w:val="nil"/>
              <w:left w:val="nil"/>
              <w:bottom w:val="single" w:sz="4" w:space="0" w:color="auto"/>
              <w:right w:val="single" w:sz="4" w:space="0" w:color="auto"/>
            </w:tcBorders>
            <w:shd w:val="clear" w:color="auto" w:fill="auto"/>
            <w:vAlign w:val="center"/>
            <w:hideMark/>
          </w:tcPr>
          <w:p w14:paraId="19528774"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1,604,757.33 </w:t>
            </w:r>
          </w:p>
        </w:tc>
      </w:tr>
      <w:tr w:rsidR="00F1339B" w:rsidRPr="00F1339B" w14:paraId="6561041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49B9F96"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1146275E"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CUOTAS DE INSCRIPCIONES CASA DEL DIEZMO</w:t>
            </w:r>
          </w:p>
        </w:tc>
        <w:tc>
          <w:tcPr>
            <w:tcW w:w="1660" w:type="dxa"/>
            <w:tcBorders>
              <w:top w:val="nil"/>
              <w:left w:val="nil"/>
              <w:bottom w:val="single" w:sz="4" w:space="0" w:color="auto"/>
              <w:right w:val="single" w:sz="4" w:space="0" w:color="auto"/>
            </w:tcBorders>
            <w:shd w:val="clear" w:color="auto" w:fill="auto"/>
            <w:vAlign w:val="center"/>
            <w:hideMark/>
          </w:tcPr>
          <w:p w14:paraId="4B610DF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537,781.37 </w:t>
            </w:r>
          </w:p>
        </w:tc>
      </w:tr>
      <w:tr w:rsidR="00F1339B" w:rsidRPr="00F1339B" w14:paraId="55884381"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5E68D8B"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08D0E744"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CURSOS Y TALLERES EN XOCHIPILLI 3</w:t>
            </w:r>
          </w:p>
        </w:tc>
        <w:tc>
          <w:tcPr>
            <w:tcW w:w="1660" w:type="dxa"/>
            <w:tcBorders>
              <w:top w:val="nil"/>
              <w:left w:val="nil"/>
              <w:bottom w:val="single" w:sz="4" w:space="0" w:color="auto"/>
              <w:right w:val="single" w:sz="4" w:space="0" w:color="auto"/>
            </w:tcBorders>
            <w:shd w:val="clear" w:color="auto" w:fill="auto"/>
            <w:vAlign w:val="center"/>
            <w:hideMark/>
          </w:tcPr>
          <w:p w14:paraId="5144C00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00C8BF92"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6792A013"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7F13EE89"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OTROS  INGRESOS</w:t>
            </w:r>
          </w:p>
        </w:tc>
        <w:tc>
          <w:tcPr>
            <w:tcW w:w="1660" w:type="dxa"/>
            <w:tcBorders>
              <w:top w:val="nil"/>
              <w:left w:val="nil"/>
              <w:bottom w:val="single" w:sz="4" w:space="0" w:color="auto"/>
              <w:right w:val="single" w:sz="4" w:space="0" w:color="auto"/>
            </w:tcBorders>
            <w:shd w:val="clear" w:color="000000" w:fill="9DC4E6"/>
            <w:vAlign w:val="center"/>
            <w:hideMark/>
          </w:tcPr>
          <w:p w14:paraId="3AB304B7"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967.00 </w:t>
            </w:r>
          </w:p>
        </w:tc>
      </w:tr>
      <w:tr w:rsidR="00F1339B" w:rsidRPr="00F1339B" w14:paraId="7C1F899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69E469"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790101</w:t>
            </w:r>
          </w:p>
        </w:tc>
        <w:tc>
          <w:tcPr>
            <w:tcW w:w="3400" w:type="dxa"/>
            <w:tcBorders>
              <w:top w:val="nil"/>
              <w:left w:val="nil"/>
              <w:bottom w:val="single" w:sz="4" w:space="0" w:color="auto"/>
              <w:right w:val="single" w:sz="4" w:space="0" w:color="auto"/>
            </w:tcBorders>
            <w:shd w:val="clear" w:color="auto" w:fill="auto"/>
            <w:vAlign w:val="center"/>
            <w:hideMark/>
          </w:tcPr>
          <w:p w14:paraId="696C559A"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DONATIVOS Y APOYOS</w:t>
            </w:r>
          </w:p>
        </w:tc>
        <w:tc>
          <w:tcPr>
            <w:tcW w:w="1660" w:type="dxa"/>
            <w:tcBorders>
              <w:top w:val="nil"/>
              <w:left w:val="nil"/>
              <w:bottom w:val="single" w:sz="4" w:space="0" w:color="auto"/>
              <w:right w:val="single" w:sz="4" w:space="0" w:color="auto"/>
            </w:tcBorders>
            <w:shd w:val="clear" w:color="auto" w:fill="auto"/>
            <w:vAlign w:val="center"/>
            <w:hideMark/>
          </w:tcPr>
          <w:p w14:paraId="7C1CE8E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967.00 </w:t>
            </w:r>
          </w:p>
        </w:tc>
      </w:tr>
      <w:tr w:rsidR="00F1339B" w:rsidRPr="00F1339B" w14:paraId="7BAD142F"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0EE04A6"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26354752"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DONATIVOS EN ESPECIE</w:t>
            </w:r>
          </w:p>
        </w:tc>
        <w:tc>
          <w:tcPr>
            <w:tcW w:w="1660" w:type="dxa"/>
            <w:tcBorders>
              <w:top w:val="nil"/>
              <w:left w:val="nil"/>
              <w:bottom w:val="single" w:sz="4" w:space="0" w:color="auto"/>
              <w:right w:val="single" w:sz="4" w:space="0" w:color="auto"/>
            </w:tcBorders>
            <w:shd w:val="clear" w:color="auto" w:fill="auto"/>
            <w:vAlign w:val="center"/>
            <w:hideMark/>
          </w:tcPr>
          <w:p w14:paraId="64FDE7A8"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1CF7CDC2" w14:textId="77777777" w:rsidTr="00F1339B">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39EC4E74"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398A89E3"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TRANSFERENCIAS, ASIGNACIONES, SUBSIDIOS Y SUBVENCIONES, Y PENSIONES Y JUBILACIONES</w:t>
            </w:r>
          </w:p>
        </w:tc>
        <w:tc>
          <w:tcPr>
            <w:tcW w:w="1660" w:type="dxa"/>
            <w:tcBorders>
              <w:top w:val="nil"/>
              <w:left w:val="nil"/>
              <w:bottom w:val="single" w:sz="4" w:space="0" w:color="auto"/>
              <w:right w:val="single" w:sz="4" w:space="0" w:color="auto"/>
            </w:tcBorders>
            <w:shd w:val="clear" w:color="000000" w:fill="1F4E78"/>
            <w:vAlign w:val="center"/>
            <w:hideMark/>
          </w:tcPr>
          <w:p w14:paraId="12D8A9D3"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12,851,220.00 </w:t>
            </w:r>
          </w:p>
        </w:tc>
      </w:tr>
      <w:tr w:rsidR="00F1339B" w:rsidRPr="00F1339B" w14:paraId="4F9D2913"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699D579A"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54369DC3"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TRANSFERENCIAS Y ASIGNACIONES</w:t>
            </w:r>
          </w:p>
        </w:tc>
        <w:tc>
          <w:tcPr>
            <w:tcW w:w="1660" w:type="dxa"/>
            <w:tcBorders>
              <w:top w:val="nil"/>
              <w:left w:val="nil"/>
              <w:bottom w:val="single" w:sz="4" w:space="0" w:color="auto"/>
              <w:right w:val="single" w:sz="4" w:space="0" w:color="auto"/>
            </w:tcBorders>
            <w:shd w:val="clear" w:color="000000" w:fill="9DC4E6"/>
            <w:vAlign w:val="center"/>
            <w:hideMark/>
          </w:tcPr>
          <w:p w14:paraId="4E4F347B"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12,750,000.00 </w:t>
            </w:r>
          </w:p>
        </w:tc>
      </w:tr>
      <w:tr w:rsidR="00F1339B" w:rsidRPr="00F1339B" w14:paraId="0F68DF20"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B3DA84D"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910101</w:t>
            </w:r>
          </w:p>
        </w:tc>
        <w:tc>
          <w:tcPr>
            <w:tcW w:w="3400" w:type="dxa"/>
            <w:tcBorders>
              <w:top w:val="nil"/>
              <w:left w:val="nil"/>
              <w:bottom w:val="single" w:sz="4" w:space="0" w:color="auto"/>
              <w:right w:val="single" w:sz="4" w:space="0" w:color="auto"/>
            </w:tcBorders>
            <w:shd w:val="clear" w:color="auto" w:fill="auto"/>
            <w:vAlign w:val="center"/>
            <w:hideMark/>
          </w:tcPr>
          <w:p w14:paraId="676E691D"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PERSONALES</w:t>
            </w:r>
          </w:p>
        </w:tc>
        <w:tc>
          <w:tcPr>
            <w:tcW w:w="1660" w:type="dxa"/>
            <w:tcBorders>
              <w:top w:val="nil"/>
              <w:left w:val="nil"/>
              <w:bottom w:val="single" w:sz="4" w:space="0" w:color="auto"/>
              <w:right w:val="single" w:sz="4" w:space="0" w:color="auto"/>
            </w:tcBorders>
            <w:shd w:val="clear" w:color="auto" w:fill="auto"/>
            <w:vAlign w:val="center"/>
            <w:hideMark/>
          </w:tcPr>
          <w:p w14:paraId="11C360E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7,780,000.00 </w:t>
            </w:r>
          </w:p>
        </w:tc>
      </w:tr>
      <w:tr w:rsidR="00F1339B" w:rsidRPr="00F1339B" w14:paraId="71598A2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5448F5D"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723CBA39"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MATERIALES Y SUMINISTROS</w:t>
            </w:r>
          </w:p>
        </w:tc>
        <w:tc>
          <w:tcPr>
            <w:tcW w:w="1660" w:type="dxa"/>
            <w:tcBorders>
              <w:top w:val="nil"/>
              <w:left w:val="nil"/>
              <w:bottom w:val="single" w:sz="4" w:space="0" w:color="auto"/>
              <w:right w:val="single" w:sz="4" w:space="0" w:color="auto"/>
            </w:tcBorders>
            <w:shd w:val="clear" w:color="auto" w:fill="auto"/>
            <w:vAlign w:val="center"/>
            <w:hideMark/>
          </w:tcPr>
          <w:p w14:paraId="1EC11BF0"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460,000.00 </w:t>
            </w:r>
          </w:p>
        </w:tc>
      </w:tr>
      <w:tr w:rsidR="00F1339B" w:rsidRPr="00F1339B" w14:paraId="3359F173"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315A3FB"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40409572"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BÁSICOS</w:t>
            </w:r>
          </w:p>
        </w:tc>
        <w:tc>
          <w:tcPr>
            <w:tcW w:w="1660" w:type="dxa"/>
            <w:tcBorders>
              <w:top w:val="nil"/>
              <w:left w:val="nil"/>
              <w:bottom w:val="single" w:sz="4" w:space="0" w:color="auto"/>
              <w:right w:val="single" w:sz="4" w:space="0" w:color="auto"/>
            </w:tcBorders>
            <w:shd w:val="clear" w:color="auto" w:fill="auto"/>
            <w:vAlign w:val="center"/>
            <w:hideMark/>
          </w:tcPr>
          <w:p w14:paraId="08B21846"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4,500,000.00 </w:t>
            </w:r>
          </w:p>
        </w:tc>
      </w:tr>
      <w:tr w:rsidR="00F1339B" w:rsidRPr="00F1339B" w14:paraId="7E10B451"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C908F36"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70D2DA9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ASIGNACIONES, SUBSIDIOS Y OTRAS AYUDAS</w:t>
            </w:r>
          </w:p>
        </w:tc>
        <w:tc>
          <w:tcPr>
            <w:tcW w:w="1660" w:type="dxa"/>
            <w:tcBorders>
              <w:top w:val="nil"/>
              <w:left w:val="nil"/>
              <w:bottom w:val="single" w:sz="4" w:space="0" w:color="auto"/>
              <w:right w:val="single" w:sz="4" w:space="0" w:color="auto"/>
            </w:tcBorders>
            <w:shd w:val="clear" w:color="auto" w:fill="auto"/>
            <w:vAlign w:val="center"/>
            <w:hideMark/>
          </w:tcPr>
          <w:p w14:paraId="6417BF3F"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10,000.00 </w:t>
            </w:r>
          </w:p>
        </w:tc>
      </w:tr>
      <w:tr w:rsidR="00F1339B" w:rsidRPr="00F1339B" w14:paraId="69EED5CD"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1E27EDC"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4929AC71"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BIENES MUEBLES, INMUEBLES E INTANGIBLES</w:t>
            </w:r>
          </w:p>
        </w:tc>
        <w:tc>
          <w:tcPr>
            <w:tcW w:w="1660" w:type="dxa"/>
            <w:tcBorders>
              <w:top w:val="nil"/>
              <w:left w:val="nil"/>
              <w:bottom w:val="single" w:sz="4" w:space="0" w:color="auto"/>
              <w:right w:val="single" w:sz="4" w:space="0" w:color="auto"/>
            </w:tcBorders>
            <w:shd w:val="clear" w:color="auto" w:fill="auto"/>
            <w:vAlign w:val="center"/>
            <w:hideMark/>
          </w:tcPr>
          <w:p w14:paraId="5EC941D1"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0ADF74EC"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A8D0260"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5EA0DBBD"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SUBSIDIOS Y SUBVENCIONES</w:t>
            </w:r>
          </w:p>
        </w:tc>
        <w:tc>
          <w:tcPr>
            <w:tcW w:w="1660" w:type="dxa"/>
            <w:tcBorders>
              <w:top w:val="nil"/>
              <w:left w:val="nil"/>
              <w:bottom w:val="single" w:sz="4" w:space="0" w:color="auto"/>
              <w:right w:val="single" w:sz="4" w:space="0" w:color="auto"/>
            </w:tcBorders>
            <w:shd w:val="clear" w:color="000000" w:fill="9DC4E6"/>
            <w:vAlign w:val="center"/>
            <w:hideMark/>
          </w:tcPr>
          <w:p w14:paraId="5C1ACAB5"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101,220.00 </w:t>
            </w:r>
          </w:p>
        </w:tc>
      </w:tr>
      <w:tr w:rsidR="00F1339B" w:rsidRPr="00F1339B" w14:paraId="1DE49884"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9953C2E"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2D327E4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INSTITUTO ESTATAL DE CULTURA DEL ESTADO DE GUANAJUATO</w:t>
            </w:r>
          </w:p>
        </w:tc>
        <w:tc>
          <w:tcPr>
            <w:tcW w:w="1660" w:type="dxa"/>
            <w:tcBorders>
              <w:top w:val="nil"/>
              <w:left w:val="nil"/>
              <w:bottom w:val="single" w:sz="4" w:space="0" w:color="auto"/>
              <w:right w:val="single" w:sz="4" w:space="0" w:color="auto"/>
            </w:tcBorders>
            <w:shd w:val="clear" w:color="auto" w:fill="auto"/>
            <w:vAlign w:val="center"/>
            <w:hideMark/>
          </w:tcPr>
          <w:p w14:paraId="0522AA1C"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101,220.00 </w:t>
            </w:r>
          </w:p>
        </w:tc>
      </w:tr>
    </w:tbl>
    <w:p w14:paraId="298D95C5" w14:textId="77777777" w:rsidR="00F1339B" w:rsidRDefault="00F1339B" w:rsidP="00725F90">
      <w:pPr>
        <w:spacing w:after="0" w:line="240" w:lineRule="auto"/>
        <w:jc w:val="both"/>
        <w:rPr>
          <w:rFonts w:cs="Calibri"/>
        </w:rPr>
      </w:pPr>
    </w:p>
    <w:p w14:paraId="438B06EF" w14:textId="3BCABE0D" w:rsidR="00725F90" w:rsidRDefault="00725F90" w:rsidP="00CB41C4">
      <w:pPr>
        <w:tabs>
          <w:tab w:val="left" w:leader="underscore" w:pos="9639"/>
        </w:tabs>
        <w:spacing w:after="0" w:line="240" w:lineRule="auto"/>
        <w:jc w:val="both"/>
        <w:rPr>
          <w:rFonts w:cs="Calibri"/>
        </w:rPr>
      </w:pPr>
    </w:p>
    <w:p w14:paraId="58109E99" w14:textId="77777777" w:rsidR="00725F90" w:rsidRPr="00E74967" w:rsidRDefault="00725F90" w:rsidP="00CB41C4">
      <w:pPr>
        <w:tabs>
          <w:tab w:val="left" w:leader="underscore" w:pos="9639"/>
        </w:tabs>
        <w:spacing w:after="0" w:line="240" w:lineRule="auto"/>
        <w:jc w:val="both"/>
        <w:rPr>
          <w:rFonts w:cs="Calibri"/>
        </w:rPr>
      </w:pPr>
    </w:p>
    <w:p w14:paraId="36C23337" w14:textId="7B9CB3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743BF5" w14:textId="50AA0131" w:rsidR="00725F90" w:rsidRDefault="00725F90" w:rsidP="00CB41C4">
      <w:pPr>
        <w:tabs>
          <w:tab w:val="left" w:leader="underscore" w:pos="9639"/>
        </w:tabs>
        <w:spacing w:after="0" w:line="240" w:lineRule="auto"/>
        <w:jc w:val="both"/>
        <w:rPr>
          <w:rFonts w:cs="Calibri"/>
        </w:rPr>
      </w:pPr>
    </w:p>
    <w:tbl>
      <w:tblPr>
        <w:tblW w:w="6180" w:type="dxa"/>
        <w:jc w:val="center"/>
        <w:tblCellMar>
          <w:left w:w="70" w:type="dxa"/>
          <w:right w:w="70" w:type="dxa"/>
        </w:tblCellMar>
        <w:tblLook w:val="04A0" w:firstRow="1" w:lastRow="0" w:firstColumn="1" w:lastColumn="0" w:noHBand="0" w:noVBand="1"/>
      </w:tblPr>
      <w:tblGrid>
        <w:gridCol w:w="1120"/>
        <w:gridCol w:w="3400"/>
        <w:gridCol w:w="1660"/>
      </w:tblGrid>
      <w:tr w:rsidR="00F1339B" w:rsidRPr="00F1339B" w14:paraId="552A97CE" w14:textId="77777777" w:rsidTr="00F1339B">
        <w:trPr>
          <w:trHeight w:val="300"/>
          <w:jc w:val="center"/>
        </w:trPr>
        <w:tc>
          <w:tcPr>
            <w:tcW w:w="4520" w:type="dxa"/>
            <w:gridSpan w:val="2"/>
            <w:tcBorders>
              <w:top w:val="nil"/>
              <w:left w:val="nil"/>
              <w:bottom w:val="nil"/>
              <w:right w:val="nil"/>
            </w:tcBorders>
            <w:shd w:val="clear" w:color="auto" w:fill="auto"/>
            <w:noWrap/>
            <w:vAlign w:val="center"/>
            <w:hideMark/>
          </w:tcPr>
          <w:p w14:paraId="5D789197" w14:textId="77777777" w:rsidR="00F1339B" w:rsidRPr="00F1339B" w:rsidRDefault="00F1339B" w:rsidP="00F1339B">
            <w:pPr>
              <w:spacing w:after="0" w:line="240" w:lineRule="auto"/>
              <w:rPr>
                <w:rFonts w:eastAsia="Times New Roman" w:cs="Calibri"/>
                <w:b/>
                <w:bCs/>
                <w:sz w:val="16"/>
                <w:szCs w:val="16"/>
                <w:lang w:eastAsia="es-MX"/>
              </w:rPr>
            </w:pPr>
            <w:r w:rsidRPr="00F1339B">
              <w:rPr>
                <w:rFonts w:eastAsia="Times New Roman" w:cs="Calibri"/>
                <w:b/>
                <w:bCs/>
                <w:sz w:val="16"/>
                <w:szCs w:val="16"/>
                <w:lang w:eastAsia="es-MX"/>
              </w:rPr>
              <w:t xml:space="preserve">                   ANALÍTICO DE INGRESOS 2019</w:t>
            </w:r>
          </w:p>
        </w:tc>
        <w:tc>
          <w:tcPr>
            <w:tcW w:w="1660" w:type="dxa"/>
            <w:tcBorders>
              <w:top w:val="nil"/>
              <w:left w:val="nil"/>
              <w:bottom w:val="nil"/>
              <w:right w:val="nil"/>
            </w:tcBorders>
            <w:shd w:val="clear" w:color="auto" w:fill="auto"/>
            <w:noWrap/>
            <w:vAlign w:val="bottom"/>
            <w:hideMark/>
          </w:tcPr>
          <w:p w14:paraId="75764464" w14:textId="77777777" w:rsidR="00F1339B" w:rsidRPr="00F1339B" w:rsidRDefault="00F1339B" w:rsidP="00F1339B">
            <w:pPr>
              <w:spacing w:after="0" w:line="240" w:lineRule="auto"/>
              <w:rPr>
                <w:rFonts w:eastAsia="Times New Roman" w:cs="Calibri"/>
                <w:b/>
                <w:bCs/>
                <w:sz w:val="16"/>
                <w:szCs w:val="16"/>
                <w:lang w:eastAsia="es-MX"/>
              </w:rPr>
            </w:pPr>
          </w:p>
        </w:tc>
      </w:tr>
      <w:tr w:rsidR="00F1339B" w:rsidRPr="00F1339B" w14:paraId="622BD63D" w14:textId="77777777" w:rsidTr="00F1339B">
        <w:trPr>
          <w:trHeight w:val="300"/>
          <w:jc w:val="center"/>
        </w:trPr>
        <w:tc>
          <w:tcPr>
            <w:tcW w:w="1120" w:type="dxa"/>
            <w:tcBorders>
              <w:top w:val="nil"/>
              <w:left w:val="nil"/>
              <w:bottom w:val="nil"/>
              <w:right w:val="nil"/>
            </w:tcBorders>
            <w:shd w:val="clear" w:color="000000" w:fill="1F4E78"/>
            <w:vAlign w:val="center"/>
            <w:hideMark/>
          </w:tcPr>
          <w:p w14:paraId="5E0E8DD4"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6F63EF9B"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DENOMINACIÓN</w:t>
            </w:r>
          </w:p>
        </w:tc>
        <w:tc>
          <w:tcPr>
            <w:tcW w:w="1660" w:type="dxa"/>
            <w:tcBorders>
              <w:top w:val="nil"/>
              <w:left w:val="nil"/>
              <w:bottom w:val="nil"/>
              <w:right w:val="nil"/>
            </w:tcBorders>
            <w:shd w:val="clear" w:color="000000" w:fill="1F4E78"/>
            <w:vAlign w:val="center"/>
            <w:hideMark/>
          </w:tcPr>
          <w:p w14:paraId="67EBF53B"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MODIFICADO</w:t>
            </w:r>
          </w:p>
        </w:tc>
      </w:tr>
      <w:tr w:rsidR="00F1339B" w:rsidRPr="00F1339B" w14:paraId="440ED4F7" w14:textId="77777777" w:rsidTr="00F1339B">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46C6BB06"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5101BF5A" w14:textId="77777777" w:rsidR="00F1339B" w:rsidRPr="00F1339B" w:rsidRDefault="00F1339B" w:rsidP="00F1339B">
            <w:pPr>
              <w:spacing w:after="0" w:line="240" w:lineRule="auto"/>
              <w:jc w:val="center"/>
              <w:rPr>
                <w:rFonts w:eastAsia="Times New Roman" w:cs="Calibri"/>
                <w:b/>
                <w:bCs/>
                <w:color w:val="FFFFFF"/>
                <w:sz w:val="16"/>
                <w:szCs w:val="16"/>
                <w:lang w:eastAsia="es-MX"/>
              </w:rPr>
            </w:pPr>
          </w:p>
        </w:tc>
        <w:tc>
          <w:tcPr>
            <w:tcW w:w="1660" w:type="dxa"/>
            <w:tcBorders>
              <w:top w:val="single" w:sz="4" w:space="0" w:color="auto"/>
              <w:left w:val="nil"/>
              <w:bottom w:val="single" w:sz="4" w:space="0" w:color="auto"/>
              <w:right w:val="single" w:sz="4" w:space="0" w:color="auto"/>
            </w:tcBorders>
            <w:shd w:val="clear" w:color="000000" w:fill="2F75B5"/>
            <w:vAlign w:val="center"/>
            <w:hideMark/>
          </w:tcPr>
          <w:p w14:paraId="4B16C84B"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xml:space="preserve">                 38,971,675.92 </w:t>
            </w:r>
          </w:p>
        </w:tc>
      </w:tr>
      <w:tr w:rsidR="00F1339B" w:rsidRPr="00F1339B" w14:paraId="2C75D168"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80CDAE8"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lastRenderedPageBreak/>
              <w:t>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14:paraId="70369B38"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79EDA23C"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 </w:t>
            </w:r>
          </w:p>
        </w:tc>
      </w:tr>
      <w:tr w:rsidR="00F1339B" w:rsidRPr="00F1339B" w14:paraId="1273EE82"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3EEF5521"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 </w:t>
            </w:r>
          </w:p>
        </w:tc>
        <w:tc>
          <w:tcPr>
            <w:tcW w:w="3400" w:type="dxa"/>
            <w:tcBorders>
              <w:top w:val="nil"/>
              <w:left w:val="nil"/>
              <w:bottom w:val="single" w:sz="4" w:space="0" w:color="auto"/>
              <w:right w:val="single" w:sz="4" w:space="0" w:color="auto"/>
            </w:tcBorders>
            <w:shd w:val="clear" w:color="000000" w:fill="9DC4E6"/>
            <w:vAlign w:val="center"/>
            <w:hideMark/>
          </w:tcPr>
          <w:p w14:paraId="7EA19E5D"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 </w:t>
            </w:r>
          </w:p>
        </w:tc>
        <w:tc>
          <w:tcPr>
            <w:tcW w:w="1660" w:type="dxa"/>
            <w:tcBorders>
              <w:top w:val="nil"/>
              <w:left w:val="nil"/>
              <w:bottom w:val="single" w:sz="4" w:space="0" w:color="auto"/>
              <w:right w:val="single" w:sz="4" w:space="0" w:color="auto"/>
            </w:tcBorders>
            <w:shd w:val="clear" w:color="000000" w:fill="9DC4E6"/>
            <w:vAlign w:val="center"/>
            <w:hideMark/>
          </w:tcPr>
          <w:p w14:paraId="19454BA6"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733,284.92 </w:t>
            </w:r>
          </w:p>
        </w:tc>
      </w:tr>
      <w:tr w:rsidR="00F1339B" w:rsidRPr="00F1339B" w14:paraId="5C292282"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491A47B"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080501</w:t>
            </w:r>
          </w:p>
        </w:tc>
        <w:tc>
          <w:tcPr>
            <w:tcW w:w="3400" w:type="dxa"/>
            <w:tcBorders>
              <w:top w:val="nil"/>
              <w:left w:val="nil"/>
              <w:bottom w:val="single" w:sz="4" w:space="0" w:color="auto"/>
              <w:right w:val="single" w:sz="4" w:space="0" w:color="auto"/>
            </w:tcBorders>
            <w:shd w:val="clear" w:color="auto" w:fill="auto"/>
            <w:vAlign w:val="center"/>
            <w:hideMark/>
          </w:tcPr>
          <w:p w14:paraId="625FBF7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REMANENTE RECURSOS PROPIOS</w:t>
            </w:r>
          </w:p>
        </w:tc>
        <w:tc>
          <w:tcPr>
            <w:tcW w:w="1660" w:type="dxa"/>
            <w:tcBorders>
              <w:top w:val="nil"/>
              <w:left w:val="nil"/>
              <w:bottom w:val="single" w:sz="4" w:space="0" w:color="auto"/>
              <w:right w:val="single" w:sz="4" w:space="0" w:color="auto"/>
            </w:tcBorders>
            <w:shd w:val="clear" w:color="auto" w:fill="auto"/>
            <w:vAlign w:val="center"/>
            <w:hideMark/>
          </w:tcPr>
          <w:p w14:paraId="0E408489"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733,284.92 </w:t>
            </w:r>
          </w:p>
        </w:tc>
      </w:tr>
      <w:tr w:rsidR="00F1339B" w:rsidRPr="00F1339B" w14:paraId="78873566"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11DAB8C"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 </w:t>
            </w:r>
          </w:p>
        </w:tc>
        <w:tc>
          <w:tcPr>
            <w:tcW w:w="3400" w:type="dxa"/>
            <w:tcBorders>
              <w:top w:val="nil"/>
              <w:left w:val="nil"/>
              <w:bottom w:val="nil"/>
              <w:right w:val="nil"/>
            </w:tcBorders>
            <w:shd w:val="clear" w:color="auto" w:fill="auto"/>
            <w:vAlign w:val="center"/>
            <w:hideMark/>
          </w:tcPr>
          <w:p w14:paraId="5A4AD6ED" w14:textId="77777777" w:rsidR="00F1339B" w:rsidRPr="00F1339B" w:rsidRDefault="00F1339B" w:rsidP="00F1339B">
            <w:pPr>
              <w:spacing w:after="0" w:line="240" w:lineRule="auto"/>
              <w:jc w:val="center"/>
              <w:rPr>
                <w:rFonts w:eastAsia="Times New Roman" w:cs="Calibri"/>
                <w:color w:val="000000"/>
                <w:sz w:val="16"/>
                <w:szCs w:val="16"/>
                <w:lang w:eastAsia="es-MX"/>
              </w:rPr>
            </w:pPr>
          </w:p>
        </w:tc>
        <w:tc>
          <w:tcPr>
            <w:tcW w:w="1660" w:type="dxa"/>
            <w:tcBorders>
              <w:top w:val="nil"/>
              <w:left w:val="nil"/>
              <w:bottom w:val="single" w:sz="4" w:space="0" w:color="auto"/>
              <w:right w:val="single" w:sz="4" w:space="0" w:color="auto"/>
            </w:tcBorders>
            <w:shd w:val="clear" w:color="auto" w:fill="auto"/>
            <w:vAlign w:val="center"/>
            <w:hideMark/>
          </w:tcPr>
          <w:p w14:paraId="04241D5D"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 </w:t>
            </w:r>
          </w:p>
        </w:tc>
      </w:tr>
      <w:tr w:rsidR="00F1339B" w:rsidRPr="00F1339B" w14:paraId="0407E94A"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2F75B5"/>
            <w:vAlign w:val="center"/>
            <w:hideMark/>
          </w:tcPr>
          <w:p w14:paraId="7618883B"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262F3B24" w14:textId="77777777" w:rsidR="00F1339B" w:rsidRPr="00F1339B" w:rsidRDefault="00F1339B" w:rsidP="00F1339B">
            <w:pPr>
              <w:spacing w:after="0" w:line="240" w:lineRule="auto"/>
              <w:jc w:val="center"/>
              <w:rPr>
                <w:rFonts w:eastAsia="Times New Roman" w:cs="Calibri"/>
                <w:b/>
                <w:bCs/>
                <w:color w:val="FFFFFF"/>
                <w:sz w:val="16"/>
                <w:szCs w:val="16"/>
                <w:lang w:eastAsia="es-MX"/>
              </w:rPr>
            </w:pPr>
          </w:p>
        </w:tc>
        <w:tc>
          <w:tcPr>
            <w:tcW w:w="1660" w:type="dxa"/>
            <w:tcBorders>
              <w:top w:val="nil"/>
              <w:left w:val="nil"/>
              <w:bottom w:val="single" w:sz="4" w:space="0" w:color="auto"/>
              <w:right w:val="single" w:sz="4" w:space="0" w:color="auto"/>
            </w:tcBorders>
            <w:shd w:val="clear" w:color="000000" w:fill="2F75B5"/>
            <w:vAlign w:val="center"/>
            <w:hideMark/>
          </w:tcPr>
          <w:p w14:paraId="7CFCA9B8" w14:textId="77777777" w:rsidR="00F1339B" w:rsidRPr="00F1339B" w:rsidRDefault="00F1339B" w:rsidP="00F1339B">
            <w:pPr>
              <w:spacing w:after="0" w:line="240" w:lineRule="auto"/>
              <w:jc w:val="center"/>
              <w:rPr>
                <w:rFonts w:eastAsia="Times New Roman" w:cs="Calibri"/>
                <w:b/>
                <w:bCs/>
                <w:color w:val="FFFFFF"/>
                <w:sz w:val="16"/>
                <w:szCs w:val="16"/>
                <w:lang w:eastAsia="es-MX"/>
              </w:rPr>
            </w:pPr>
            <w:r w:rsidRPr="00F1339B">
              <w:rPr>
                <w:rFonts w:eastAsia="Times New Roman" w:cs="Calibri"/>
                <w:b/>
                <w:bCs/>
                <w:color w:val="FFFFFF"/>
                <w:sz w:val="16"/>
                <w:szCs w:val="16"/>
                <w:lang w:eastAsia="es-MX"/>
              </w:rPr>
              <w:t xml:space="preserve">                 38,238,391.00 </w:t>
            </w:r>
          </w:p>
        </w:tc>
      </w:tr>
      <w:tr w:rsidR="00F1339B" w:rsidRPr="00F1339B" w14:paraId="33F58936"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3E8D6FA9"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53016D93"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PRODUCTOS  </w:t>
            </w:r>
          </w:p>
        </w:tc>
        <w:tc>
          <w:tcPr>
            <w:tcW w:w="1660" w:type="dxa"/>
            <w:tcBorders>
              <w:top w:val="nil"/>
              <w:left w:val="nil"/>
              <w:bottom w:val="single" w:sz="4" w:space="0" w:color="auto"/>
              <w:right w:val="single" w:sz="4" w:space="0" w:color="auto"/>
            </w:tcBorders>
            <w:shd w:val="clear" w:color="000000" w:fill="1F4E78"/>
            <w:vAlign w:val="center"/>
            <w:hideMark/>
          </w:tcPr>
          <w:p w14:paraId="78D58FAB"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4,191,836.00 </w:t>
            </w:r>
          </w:p>
        </w:tc>
      </w:tr>
      <w:tr w:rsidR="00F1339B" w:rsidRPr="00F1339B" w14:paraId="372C2763"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6D9D9A48"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5234A8CD"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PRODUCTOS </w:t>
            </w:r>
          </w:p>
        </w:tc>
        <w:tc>
          <w:tcPr>
            <w:tcW w:w="1660" w:type="dxa"/>
            <w:tcBorders>
              <w:top w:val="nil"/>
              <w:left w:val="nil"/>
              <w:bottom w:val="single" w:sz="4" w:space="0" w:color="auto"/>
              <w:right w:val="single" w:sz="4" w:space="0" w:color="auto"/>
            </w:tcBorders>
            <w:shd w:val="clear" w:color="000000" w:fill="9DC4E6"/>
            <w:vAlign w:val="center"/>
            <w:hideMark/>
          </w:tcPr>
          <w:p w14:paraId="493CA8FF"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4,191,836.00 </w:t>
            </w:r>
          </w:p>
        </w:tc>
      </w:tr>
      <w:tr w:rsidR="00F1339B" w:rsidRPr="00F1339B" w14:paraId="4C74CABB"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3EFD842"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134826E8"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DEL AUDITORIO</w:t>
            </w:r>
          </w:p>
        </w:tc>
        <w:tc>
          <w:tcPr>
            <w:tcW w:w="1660" w:type="dxa"/>
            <w:tcBorders>
              <w:top w:val="nil"/>
              <w:left w:val="nil"/>
              <w:bottom w:val="single" w:sz="4" w:space="0" w:color="auto"/>
              <w:right w:val="single" w:sz="4" w:space="0" w:color="auto"/>
            </w:tcBorders>
            <w:shd w:val="clear" w:color="auto" w:fill="auto"/>
            <w:vAlign w:val="center"/>
            <w:hideMark/>
          </w:tcPr>
          <w:p w14:paraId="52095E5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2,500,000.00 </w:t>
            </w:r>
          </w:p>
        </w:tc>
      </w:tr>
      <w:tr w:rsidR="00F1339B" w:rsidRPr="00F1339B" w14:paraId="0E0DBAFF"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7923855"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7F87EAE5"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DE LA BANDA MUNICIPAL</w:t>
            </w:r>
          </w:p>
        </w:tc>
        <w:tc>
          <w:tcPr>
            <w:tcW w:w="1660" w:type="dxa"/>
            <w:tcBorders>
              <w:top w:val="nil"/>
              <w:left w:val="nil"/>
              <w:bottom w:val="single" w:sz="4" w:space="0" w:color="auto"/>
              <w:right w:val="single" w:sz="4" w:space="0" w:color="auto"/>
            </w:tcBorders>
            <w:shd w:val="clear" w:color="auto" w:fill="auto"/>
            <w:vAlign w:val="center"/>
            <w:hideMark/>
          </w:tcPr>
          <w:p w14:paraId="1C4B411D"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7,336.00 </w:t>
            </w:r>
          </w:p>
        </w:tc>
      </w:tr>
      <w:tr w:rsidR="00F1339B" w:rsidRPr="00F1339B" w14:paraId="392567B5"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FCB8AB9"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7E95BCFC"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ENTRADAS AL MUSEO DE CELAYA</w:t>
            </w:r>
          </w:p>
        </w:tc>
        <w:tc>
          <w:tcPr>
            <w:tcW w:w="1660" w:type="dxa"/>
            <w:tcBorders>
              <w:top w:val="nil"/>
              <w:left w:val="nil"/>
              <w:bottom w:val="single" w:sz="4" w:space="0" w:color="auto"/>
              <w:right w:val="single" w:sz="4" w:space="0" w:color="auto"/>
            </w:tcBorders>
            <w:shd w:val="clear" w:color="auto" w:fill="auto"/>
            <w:vAlign w:val="center"/>
            <w:hideMark/>
          </w:tcPr>
          <w:p w14:paraId="51801152"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140,000.00 </w:t>
            </w:r>
          </w:p>
        </w:tc>
      </w:tr>
      <w:tr w:rsidR="00F1339B" w:rsidRPr="00F1339B" w14:paraId="4161E6A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B085A53"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3A7E1E9C"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 ESPACIOS</w:t>
            </w:r>
          </w:p>
        </w:tc>
        <w:tc>
          <w:tcPr>
            <w:tcW w:w="1660" w:type="dxa"/>
            <w:tcBorders>
              <w:top w:val="nil"/>
              <w:left w:val="nil"/>
              <w:bottom w:val="single" w:sz="4" w:space="0" w:color="auto"/>
              <w:right w:val="single" w:sz="4" w:space="0" w:color="auto"/>
            </w:tcBorders>
            <w:shd w:val="clear" w:color="auto" w:fill="auto"/>
            <w:vAlign w:val="center"/>
            <w:hideMark/>
          </w:tcPr>
          <w:p w14:paraId="13691546"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350,000.00 </w:t>
            </w:r>
          </w:p>
        </w:tc>
      </w:tr>
      <w:tr w:rsidR="00F1339B" w:rsidRPr="00F1339B" w14:paraId="79AE0E50"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3DABF21"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510105</w:t>
            </w:r>
          </w:p>
        </w:tc>
        <w:tc>
          <w:tcPr>
            <w:tcW w:w="3400" w:type="dxa"/>
            <w:tcBorders>
              <w:top w:val="nil"/>
              <w:left w:val="nil"/>
              <w:bottom w:val="single" w:sz="4" w:space="0" w:color="auto"/>
              <w:right w:val="single" w:sz="4" w:space="0" w:color="auto"/>
            </w:tcBorders>
            <w:shd w:val="clear" w:color="auto" w:fill="auto"/>
            <w:vAlign w:val="center"/>
            <w:hideMark/>
          </w:tcPr>
          <w:p w14:paraId="59E337BE"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ENTRADAS AL MUSEO OCTAVIO OCAMPO</w:t>
            </w:r>
          </w:p>
        </w:tc>
        <w:tc>
          <w:tcPr>
            <w:tcW w:w="1660" w:type="dxa"/>
            <w:tcBorders>
              <w:top w:val="nil"/>
              <w:left w:val="nil"/>
              <w:bottom w:val="single" w:sz="4" w:space="0" w:color="auto"/>
              <w:right w:val="single" w:sz="4" w:space="0" w:color="auto"/>
            </w:tcBorders>
            <w:shd w:val="clear" w:color="auto" w:fill="auto"/>
            <w:vAlign w:val="center"/>
            <w:hideMark/>
          </w:tcPr>
          <w:p w14:paraId="7CDE5D4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250,000.00 </w:t>
            </w:r>
          </w:p>
        </w:tc>
      </w:tr>
      <w:tr w:rsidR="00F1339B" w:rsidRPr="00F1339B" w14:paraId="721E9738"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5680DDF"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23E8F2C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3AB5F902"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200,000.00 </w:t>
            </w:r>
          </w:p>
        </w:tc>
      </w:tr>
      <w:tr w:rsidR="00F1339B" w:rsidRPr="00F1339B" w14:paraId="6E17DBD3"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A9C22DA"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72F1C10F"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 GALERIAS DEL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3F8861AC"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400,000.00 </w:t>
            </w:r>
          </w:p>
        </w:tc>
      </w:tr>
      <w:tr w:rsidR="00F1339B" w:rsidRPr="00F1339B" w14:paraId="0FB864DD"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590D6A"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510108</w:t>
            </w:r>
          </w:p>
        </w:tc>
        <w:tc>
          <w:tcPr>
            <w:tcW w:w="3400" w:type="dxa"/>
            <w:tcBorders>
              <w:top w:val="nil"/>
              <w:left w:val="nil"/>
              <w:bottom w:val="single" w:sz="4" w:space="0" w:color="auto"/>
              <w:right w:val="single" w:sz="4" w:space="0" w:color="auto"/>
            </w:tcBorders>
            <w:shd w:val="clear" w:color="auto" w:fill="auto"/>
            <w:vAlign w:val="center"/>
            <w:hideMark/>
          </w:tcPr>
          <w:p w14:paraId="07645462"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ACCESO A SANITARIOS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2F05E1E9"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120,900.00 </w:t>
            </w:r>
          </w:p>
        </w:tc>
      </w:tr>
      <w:tr w:rsidR="00F1339B" w:rsidRPr="00F1339B" w14:paraId="5B8D89F9"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002351F"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5FBCC10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DEL FORO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6744F590"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5,000.00 </w:t>
            </w:r>
          </w:p>
        </w:tc>
      </w:tr>
      <w:tr w:rsidR="00F1339B" w:rsidRPr="00F1339B" w14:paraId="2BD1ECA4"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FF30E8A"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0A81B25B"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USO SALA DE CONFERENCIAS Y TALLERES</w:t>
            </w:r>
          </w:p>
        </w:tc>
        <w:tc>
          <w:tcPr>
            <w:tcW w:w="1660" w:type="dxa"/>
            <w:tcBorders>
              <w:top w:val="nil"/>
              <w:left w:val="nil"/>
              <w:bottom w:val="single" w:sz="4" w:space="0" w:color="auto"/>
              <w:right w:val="single" w:sz="4" w:space="0" w:color="auto"/>
            </w:tcBorders>
            <w:shd w:val="clear" w:color="auto" w:fill="auto"/>
            <w:vAlign w:val="center"/>
            <w:hideMark/>
          </w:tcPr>
          <w:p w14:paraId="2CA407F4"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10,000.00 </w:t>
            </w:r>
          </w:p>
        </w:tc>
      </w:tr>
      <w:tr w:rsidR="00F1339B" w:rsidRPr="00F1339B" w14:paraId="473EEFB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F70109E"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793A4A59"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ESTACIONAMIENTO</w:t>
            </w:r>
          </w:p>
        </w:tc>
        <w:tc>
          <w:tcPr>
            <w:tcW w:w="1660" w:type="dxa"/>
            <w:tcBorders>
              <w:top w:val="nil"/>
              <w:left w:val="nil"/>
              <w:bottom w:val="single" w:sz="4" w:space="0" w:color="auto"/>
              <w:right w:val="single" w:sz="4" w:space="0" w:color="auto"/>
            </w:tcBorders>
            <w:shd w:val="clear" w:color="auto" w:fill="auto"/>
            <w:vAlign w:val="center"/>
            <w:hideMark/>
          </w:tcPr>
          <w:p w14:paraId="4C43271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20,000.00 </w:t>
            </w:r>
          </w:p>
        </w:tc>
      </w:tr>
      <w:tr w:rsidR="00F1339B" w:rsidRPr="00F1339B" w14:paraId="3368B160"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47F74A8"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510112</w:t>
            </w:r>
          </w:p>
        </w:tc>
        <w:tc>
          <w:tcPr>
            <w:tcW w:w="3400" w:type="dxa"/>
            <w:tcBorders>
              <w:top w:val="nil"/>
              <w:left w:val="nil"/>
              <w:bottom w:val="single" w:sz="4" w:space="0" w:color="auto"/>
              <w:right w:val="single" w:sz="4" w:space="0" w:color="auto"/>
            </w:tcBorders>
            <w:shd w:val="clear" w:color="auto" w:fill="auto"/>
            <w:vAlign w:val="center"/>
            <w:hideMark/>
          </w:tcPr>
          <w:p w14:paraId="38AB32D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OTROS PRODUCTOS</w:t>
            </w:r>
          </w:p>
        </w:tc>
        <w:tc>
          <w:tcPr>
            <w:tcW w:w="1660" w:type="dxa"/>
            <w:tcBorders>
              <w:top w:val="nil"/>
              <w:left w:val="nil"/>
              <w:bottom w:val="single" w:sz="4" w:space="0" w:color="auto"/>
              <w:right w:val="single" w:sz="4" w:space="0" w:color="auto"/>
            </w:tcBorders>
            <w:shd w:val="clear" w:color="auto" w:fill="auto"/>
            <w:vAlign w:val="center"/>
            <w:hideMark/>
          </w:tcPr>
          <w:p w14:paraId="1AC930FA"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188,600.00 </w:t>
            </w:r>
          </w:p>
        </w:tc>
      </w:tr>
      <w:tr w:rsidR="00F1339B" w:rsidRPr="00F1339B" w14:paraId="37D1F865" w14:textId="77777777" w:rsidTr="00F1339B">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52697F73"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344B34DF"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INGRESOS POR VENTA DE BIENES, PRESTACIÓN DE SERVICIOS Y OTROS INGRESOS</w:t>
            </w:r>
          </w:p>
        </w:tc>
        <w:tc>
          <w:tcPr>
            <w:tcW w:w="1660" w:type="dxa"/>
            <w:tcBorders>
              <w:top w:val="nil"/>
              <w:left w:val="nil"/>
              <w:bottom w:val="single" w:sz="4" w:space="0" w:color="auto"/>
              <w:right w:val="single" w:sz="4" w:space="0" w:color="auto"/>
            </w:tcBorders>
            <w:shd w:val="clear" w:color="000000" w:fill="1F4E78"/>
            <w:vAlign w:val="center"/>
            <w:hideMark/>
          </w:tcPr>
          <w:p w14:paraId="44381D89"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4,945,000.00 </w:t>
            </w:r>
          </w:p>
        </w:tc>
      </w:tr>
      <w:tr w:rsidR="00F1339B" w:rsidRPr="00F1339B" w14:paraId="2D3467F4" w14:textId="77777777" w:rsidTr="00F1339B">
        <w:trPr>
          <w:trHeight w:val="9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D331C8D"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7CDB093D"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660" w:type="dxa"/>
            <w:tcBorders>
              <w:top w:val="nil"/>
              <w:left w:val="nil"/>
              <w:bottom w:val="single" w:sz="4" w:space="0" w:color="auto"/>
              <w:right w:val="single" w:sz="4" w:space="0" w:color="auto"/>
            </w:tcBorders>
            <w:shd w:val="clear" w:color="000000" w:fill="9DC4E6"/>
            <w:vAlign w:val="center"/>
            <w:hideMark/>
          </w:tcPr>
          <w:p w14:paraId="79FE55F4"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4,720,000.00 </w:t>
            </w:r>
          </w:p>
        </w:tc>
      </w:tr>
      <w:tr w:rsidR="00F1339B" w:rsidRPr="00F1339B" w14:paraId="21506B8A"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E84CE49"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57EAADC5"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CUOTAS DE INSCRIPCIONES CASA DE LA CULTURA</w:t>
            </w:r>
          </w:p>
        </w:tc>
        <w:tc>
          <w:tcPr>
            <w:tcW w:w="1660" w:type="dxa"/>
            <w:tcBorders>
              <w:top w:val="nil"/>
              <w:left w:val="nil"/>
              <w:bottom w:val="single" w:sz="4" w:space="0" w:color="auto"/>
              <w:right w:val="single" w:sz="4" w:space="0" w:color="auto"/>
            </w:tcBorders>
            <w:shd w:val="clear" w:color="auto" w:fill="auto"/>
            <w:vAlign w:val="center"/>
            <w:hideMark/>
          </w:tcPr>
          <w:p w14:paraId="611943F1"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3,500,000.00 </w:t>
            </w:r>
          </w:p>
        </w:tc>
      </w:tr>
      <w:tr w:rsidR="00F1339B" w:rsidRPr="00F1339B" w14:paraId="1355CCE1"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53A51B2"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495CD4DB"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CUOTAS DE INSCRIPCIONES CASA DEL DIEZMO</w:t>
            </w:r>
          </w:p>
        </w:tc>
        <w:tc>
          <w:tcPr>
            <w:tcW w:w="1660" w:type="dxa"/>
            <w:tcBorders>
              <w:top w:val="nil"/>
              <w:left w:val="nil"/>
              <w:bottom w:val="single" w:sz="4" w:space="0" w:color="auto"/>
              <w:right w:val="single" w:sz="4" w:space="0" w:color="auto"/>
            </w:tcBorders>
            <w:shd w:val="clear" w:color="auto" w:fill="auto"/>
            <w:vAlign w:val="center"/>
            <w:hideMark/>
          </w:tcPr>
          <w:p w14:paraId="095EC26F"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1,000,000.00 </w:t>
            </w:r>
          </w:p>
        </w:tc>
      </w:tr>
      <w:tr w:rsidR="00F1339B" w:rsidRPr="00F1339B" w14:paraId="059DA0AD"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A1A230"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1CD7EC19"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CURSOS Y TALLERES EN XOCHIPILLI 3</w:t>
            </w:r>
          </w:p>
        </w:tc>
        <w:tc>
          <w:tcPr>
            <w:tcW w:w="1660" w:type="dxa"/>
            <w:tcBorders>
              <w:top w:val="nil"/>
              <w:left w:val="nil"/>
              <w:bottom w:val="single" w:sz="4" w:space="0" w:color="auto"/>
              <w:right w:val="single" w:sz="4" w:space="0" w:color="auto"/>
            </w:tcBorders>
            <w:shd w:val="clear" w:color="auto" w:fill="auto"/>
            <w:vAlign w:val="center"/>
            <w:hideMark/>
          </w:tcPr>
          <w:p w14:paraId="22893AB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220,000.00 </w:t>
            </w:r>
          </w:p>
        </w:tc>
      </w:tr>
      <w:tr w:rsidR="00F1339B" w:rsidRPr="00F1339B" w14:paraId="59756A3C"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B29B071"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59629D3D"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OTROS  INGRESOS</w:t>
            </w:r>
          </w:p>
        </w:tc>
        <w:tc>
          <w:tcPr>
            <w:tcW w:w="1660" w:type="dxa"/>
            <w:tcBorders>
              <w:top w:val="nil"/>
              <w:left w:val="nil"/>
              <w:bottom w:val="single" w:sz="4" w:space="0" w:color="auto"/>
              <w:right w:val="single" w:sz="4" w:space="0" w:color="auto"/>
            </w:tcBorders>
            <w:shd w:val="clear" w:color="000000" w:fill="9DC4E6"/>
            <w:vAlign w:val="center"/>
            <w:hideMark/>
          </w:tcPr>
          <w:p w14:paraId="37372439"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225,000.00 </w:t>
            </w:r>
          </w:p>
        </w:tc>
      </w:tr>
      <w:tr w:rsidR="00F1339B" w:rsidRPr="00F1339B" w14:paraId="723B5D84"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8795D3C"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790101</w:t>
            </w:r>
          </w:p>
        </w:tc>
        <w:tc>
          <w:tcPr>
            <w:tcW w:w="3400" w:type="dxa"/>
            <w:tcBorders>
              <w:top w:val="nil"/>
              <w:left w:val="nil"/>
              <w:bottom w:val="single" w:sz="4" w:space="0" w:color="auto"/>
              <w:right w:val="single" w:sz="4" w:space="0" w:color="auto"/>
            </w:tcBorders>
            <w:shd w:val="clear" w:color="auto" w:fill="auto"/>
            <w:vAlign w:val="center"/>
            <w:hideMark/>
          </w:tcPr>
          <w:p w14:paraId="32FA8DAE"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DONATIVOS Y APOYOS</w:t>
            </w:r>
          </w:p>
        </w:tc>
        <w:tc>
          <w:tcPr>
            <w:tcW w:w="1660" w:type="dxa"/>
            <w:tcBorders>
              <w:top w:val="nil"/>
              <w:left w:val="nil"/>
              <w:bottom w:val="single" w:sz="4" w:space="0" w:color="auto"/>
              <w:right w:val="single" w:sz="4" w:space="0" w:color="auto"/>
            </w:tcBorders>
            <w:shd w:val="clear" w:color="auto" w:fill="auto"/>
            <w:vAlign w:val="center"/>
            <w:hideMark/>
          </w:tcPr>
          <w:p w14:paraId="511A1F9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220,000.00 </w:t>
            </w:r>
          </w:p>
        </w:tc>
      </w:tr>
      <w:tr w:rsidR="00F1339B" w:rsidRPr="00F1339B" w14:paraId="6C44AAF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A7F737B"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367E307E"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DONATIVOS EN ESPECIE</w:t>
            </w:r>
          </w:p>
        </w:tc>
        <w:tc>
          <w:tcPr>
            <w:tcW w:w="1660" w:type="dxa"/>
            <w:tcBorders>
              <w:top w:val="nil"/>
              <w:left w:val="nil"/>
              <w:bottom w:val="single" w:sz="4" w:space="0" w:color="auto"/>
              <w:right w:val="single" w:sz="4" w:space="0" w:color="auto"/>
            </w:tcBorders>
            <w:shd w:val="clear" w:color="auto" w:fill="auto"/>
            <w:vAlign w:val="center"/>
            <w:hideMark/>
          </w:tcPr>
          <w:p w14:paraId="2217207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5,000.00 </w:t>
            </w:r>
          </w:p>
        </w:tc>
      </w:tr>
      <w:tr w:rsidR="00F1339B" w:rsidRPr="00F1339B" w14:paraId="4F07B071" w14:textId="77777777" w:rsidTr="00F1339B">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21601270" w14:textId="77777777" w:rsidR="00F1339B" w:rsidRPr="00F1339B" w:rsidRDefault="00F1339B" w:rsidP="00F1339B">
            <w:pPr>
              <w:spacing w:after="0" w:line="240" w:lineRule="auto"/>
              <w:jc w:val="center"/>
              <w:rPr>
                <w:rFonts w:eastAsia="Times New Roman" w:cs="Calibri"/>
                <w:b/>
                <w:bCs/>
                <w:color w:val="FFFFFF"/>
                <w:sz w:val="18"/>
                <w:szCs w:val="18"/>
                <w:lang w:eastAsia="es-MX"/>
              </w:rPr>
            </w:pPr>
            <w:r w:rsidRPr="00F1339B">
              <w:rPr>
                <w:rFonts w:eastAsia="Times New Roman" w:cs="Calibri"/>
                <w:b/>
                <w:bCs/>
                <w:color w:val="FFFFFF"/>
                <w:sz w:val="18"/>
                <w:szCs w:val="18"/>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7DB00F73"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TRANSFERENCIAS, ASIGNACIONES, SUBSIDIOS Y SUBVENCIONES, Y PENSIONES Y JUBILACIONES</w:t>
            </w:r>
          </w:p>
        </w:tc>
        <w:tc>
          <w:tcPr>
            <w:tcW w:w="1660" w:type="dxa"/>
            <w:tcBorders>
              <w:top w:val="nil"/>
              <w:left w:val="nil"/>
              <w:bottom w:val="single" w:sz="4" w:space="0" w:color="auto"/>
              <w:right w:val="single" w:sz="4" w:space="0" w:color="auto"/>
            </w:tcBorders>
            <w:shd w:val="clear" w:color="000000" w:fill="1F4E78"/>
            <w:vAlign w:val="center"/>
            <w:hideMark/>
          </w:tcPr>
          <w:p w14:paraId="664DBAE4" w14:textId="77777777" w:rsidR="00F1339B" w:rsidRPr="00F1339B" w:rsidRDefault="00F1339B" w:rsidP="00F1339B">
            <w:pPr>
              <w:spacing w:after="0" w:line="240" w:lineRule="auto"/>
              <w:rPr>
                <w:rFonts w:eastAsia="Times New Roman" w:cs="Calibri"/>
                <w:b/>
                <w:bCs/>
                <w:color w:val="FFFFFF"/>
                <w:sz w:val="18"/>
                <w:szCs w:val="18"/>
                <w:lang w:eastAsia="es-MX"/>
              </w:rPr>
            </w:pPr>
            <w:r w:rsidRPr="00F1339B">
              <w:rPr>
                <w:rFonts w:eastAsia="Times New Roman" w:cs="Calibri"/>
                <w:b/>
                <w:bCs/>
                <w:color w:val="FFFFFF"/>
                <w:sz w:val="18"/>
                <w:szCs w:val="18"/>
                <w:lang w:eastAsia="es-MX"/>
              </w:rPr>
              <w:t xml:space="preserve">           29,101,555.00 </w:t>
            </w:r>
          </w:p>
        </w:tc>
      </w:tr>
      <w:tr w:rsidR="00F1339B" w:rsidRPr="00F1339B" w14:paraId="4E29642F"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7508C34D"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6C396285"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TRANSFERENCIAS Y ASIGNACIONES</w:t>
            </w:r>
          </w:p>
        </w:tc>
        <w:tc>
          <w:tcPr>
            <w:tcW w:w="1660" w:type="dxa"/>
            <w:tcBorders>
              <w:top w:val="nil"/>
              <w:left w:val="nil"/>
              <w:bottom w:val="single" w:sz="4" w:space="0" w:color="auto"/>
              <w:right w:val="single" w:sz="4" w:space="0" w:color="auto"/>
            </w:tcBorders>
            <w:shd w:val="clear" w:color="000000" w:fill="9DC4E6"/>
            <w:vAlign w:val="center"/>
            <w:hideMark/>
          </w:tcPr>
          <w:p w14:paraId="70858AC4"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28,848,500.00 </w:t>
            </w:r>
          </w:p>
        </w:tc>
      </w:tr>
      <w:tr w:rsidR="00F1339B" w:rsidRPr="00F1339B" w14:paraId="2E8C02FA"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F536F8"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lastRenderedPageBreak/>
              <w:t>910101</w:t>
            </w:r>
          </w:p>
        </w:tc>
        <w:tc>
          <w:tcPr>
            <w:tcW w:w="3400" w:type="dxa"/>
            <w:tcBorders>
              <w:top w:val="nil"/>
              <w:left w:val="nil"/>
              <w:bottom w:val="single" w:sz="4" w:space="0" w:color="auto"/>
              <w:right w:val="single" w:sz="4" w:space="0" w:color="auto"/>
            </w:tcBorders>
            <w:shd w:val="clear" w:color="auto" w:fill="auto"/>
            <w:vAlign w:val="center"/>
            <w:hideMark/>
          </w:tcPr>
          <w:p w14:paraId="6E4A7E0A"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PERSONALES</w:t>
            </w:r>
          </w:p>
        </w:tc>
        <w:tc>
          <w:tcPr>
            <w:tcW w:w="1660" w:type="dxa"/>
            <w:tcBorders>
              <w:top w:val="nil"/>
              <w:left w:val="nil"/>
              <w:bottom w:val="single" w:sz="4" w:space="0" w:color="auto"/>
              <w:right w:val="single" w:sz="4" w:space="0" w:color="auto"/>
            </w:tcBorders>
            <w:shd w:val="clear" w:color="auto" w:fill="auto"/>
            <w:vAlign w:val="center"/>
            <w:hideMark/>
          </w:tcPr>
          <w:p w14:paraId="3AD23D72"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17,943,428.60 </w:t>
            </w:r>
          </w:p>
        </w:tc>
      </w:tr>
      <w:tr w:rsidR="00F1339B" w:rsidRPr="00F1339B" w14:paraId="64A755F8"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C5AEC03"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571D1BF6"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MATERIALES Y SUMINISTROS</w:t>
            </w:r>
          </w:p>
        </w:tc>
        <w:tc>
          <w:tcPr>
            <w:tcW w:w="1660" w:type="dxa"/>
            <w:tcBorders>
              <w:top w:val="nil"/>
              <w:left w:val="nil"/>
              <w:bottom w:val="single" w:sz="4" w:space="0" w:color="auto"/>
              <w:right w:val="single" w:sz="4" w:space="0" w:color="auto"/>
            </w:tcBorders>
            <w:shd w:val="clear" w:color="auto" w:fill="auto"/>
            <w:vAlign w:val="center"/>
            <w:hideMark/>
          </w:tcPr>
          <w:p w14:paraId="12C68349"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843,285.76 </w:t>
            </w:r>
          </w:p>
        </w:tc>
      </w:tr>
      <w:tr w:rsidR="00F1339B" w:rsidRPr="00F1339B" w14:paraId="2F2705B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299EBC1"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65F60ABA"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SERVICIOS BÁSICOS</w:t>
            </w:r>
          </w:p>
        </w:tc>
        <w:tc>
          <w:tcPr>
            <w:tcW w:w="1660" w:type="dxa"/>
            <w:tcBorders>
              <w:top w:val="nil"/>
              <w:left w:val="nil"/>
              <w:bottom w:val="single" w:sz="4" w:space="0" w:color="auto"/>
              <w:right w:val="single" w:sz="4" w:space="0" w:color="auto"/>
            </w:tcBorders>
            <w:shd w:val="clear" w:color="auto" w:fill="auto"/>
            <w:vAlign w:val="center"/>
            <w:hideMark/>
          </w:tcPr>
          <w:p w14:paraId="2B06639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9,875,385.64 </w:t>
            </w:r>
          </w:p>
        </w:tc>
      </w:tr>
      <w:tr w:rsidR="00F1339B" w:rsidRPr="00F1339B" w14:paraId="6E2A744B"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71365B3"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0E312F30"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ASIGNACIONES, SUBSIDIOS Y OTRAS AYUDAS</w:t>
            </w:r>
          </w:p>
        </w:tc>
        <w:tc>
          <w:tcPr>
            <w:tcW w:w="1660" w:type="dxa"/>
            <w:tcBorders>
              <w:top w:val="nil"/>
              <w:left w:val="nil"/>
              <w:bottom w:val="single" w:sz="4" w:space="0" w:color="auto"/>
              <w:right w:val="single" w:sz="4" w:space="0" w:color="auto"/>
            </w:tcBorders>
            <w:shd w:val="clear" w:color="auto" w:fill="auto"/>
            <w:vAlign w:val="center"/>
            <w:hideMark/>
          </w:tcPr>
          <w:p w14:paraId="0FEC0FE5"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186,400.00 </w:t>
            </w:r>
          </w:p>
        </w:tc>
      </w:tr>
      <w:tr w:rsidR="00F1339B" w:rsidRPr="00F1339B" w14:paraId="3E093C89"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DBC529C"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6CBA2421"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BIENES MUEBLES, INMUEBLES E INTANGIBLES</w:t>
            </w:r>
          </w:p>
        </w:tc>
        <w:tc>
          <w:tcPr>
            <w:tcW w:w="1660" w:type="dxa"/>
            <w:tcBorders>
              <w:top w:val="nil"/>
              <w:left w:val="nil"/>
              <w:bottom w:val="single" w:sz="4" w:space="0" w:color="auto"/>
              <w:right w:val="single" w:sz="4" w:space="0" w:color="auto"/>
            </w:tcBorders>
            <w:shd w:val="clear" w:color="auto" w:fill="auto"/>
            <w:vAlign w:val="center"/>
            <w:hideMark/>
          </w:tcPr>
          <w:p w14:paraId="3C08F0C3"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   </w:t>
            </w:r>
          </w:p>
        </w:tc>
      </w:tr>
      <w:tr w:rsidR="00F1339B" w:rsidRPr="00F1339B" w14:paraId="5CF2C47E" w14:textId="77777777" w:rsidTr="00F1339B">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364297E" w14:textId="77777777" w:rsidR="00F1339B" w:rsidRPr="00F1339B" w:rsidRDefault="00F1339B" w:rsidP="00F1339B">
            <w:pPr>
              <w:spacing w:after="0" w:line="240" w:lineRule="auto"/>
              <w:jc w:val="center"/>
              <w:rPr>
                <w:rFonts w:eastAsia="Times New Roman" w:cs="Calibri"/>
                <w:b/>
                <w:bCs/>
                <w:color w:val="000000"/>
                <w:sz w:val="16"/>
                <w:szCs w:val="16"/>
                <w:lang w:eastAsia="es-MX"/>
              </w:rPr>
            </w:pPr>
            <w:r w:rsidRPr="00F1339B">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34987275" w14:textId="77777777" w:rsidR="00F1339B" w:rsidRPr="00F1339B" w:rsidRDefault="00F1339B" w:rsidP="00F1339B">
            <w:pPr>
              <w:spacing w:after="0" w:line="240" w:lineRule="auto"/>
              <w:rPr>
                <w:rFonts w:eastAsia="Times New Roman" w:cs="Calibri"/>
                <w:b/>
                <w:bCs/>
                <w:color w:val="000000"/>
                <w:sz w:val="16"/>
                <w:szCs w:val="16"/>
                <w:lang w:eastAsia="es-MX"/>
              </w:rPr>
            </w:pPr>
            <w:r w:rsidRPr="00F1339B">
              <w:rPr>
                <w:rFonts w:eastAsia="Times New Roman" w:cs="Calibri"/>
                <w:b/>
                <w:bCs/>
                <w:color w:val="000000"/>
                <w:sz w:val="16"/>
                <w:szCs w:val="16"/>
                <w:lang w:eastAsia="es-MX"/>
              </w:rPr>
              <w:t>SUBSIDIOS Y SUBVENCIONES</w:t>
            </w:r>
          </w:p>
        </w:tc>
        <w:tc>
          <w:tcPr>
            <w:tcW w:w="1660" w:type="dxa"/>
            <w:tcBorders>
              <w:top w:val="nil"/>
              <w:left w:val="nil"/>
              <w:bottom w:val="single" w:sz="4" w:space="0" w:color="auto"/>
              <w:right w:val="single" w:sz="4" w:space="0" w:color="auto"/>
            </w:tcBorders>
            <w:shd w:val="clear" w:color="000000" w:fill="9DC4E6"/>
            <w:vAlign w:val="center"/>
            <w:hideMark/>
          </w:tcPr>
          <w:p w14:paraId="576BC85F" w14:textId="77777777" w:rsidR="00F1339B" w:rsidRPr="00F1339B" w:rsidRDefault="00F1339B" w:rsidP="0005229E">
            <w:pPr>
              <w:spacing w:after="0" w:line="240" w:lineRule="auto"/>
              <w:jc w:val="right"/>
              <w:rPr>
                <w:rFonts w:eastAsia="Times New Roman" w:cs="Calibri"/>
                <w:b/>
                <w:bCs/>
                <w:color w:val="000000"/>
                <w:sz w:val="16"/>
                <w:szCs w:val="16"/>
                <w:lang w:eastAsia="es-MX"/>
              </w:rPr>
            </w:pPr>
            <w:r w:rsidRPr="00F1339B">
              <w:rPr>
                <w:rFonts w:eastAsia="Times New Roman" w:cs="Calibri"/>
                <w:b/>
                <w:bCs/>
                <w:color w:val="000000"/>
                <w:sz w:val="16"/>
                <w:szCs w:val="16"/>
                <w:lang w:eastAsia="es-MX"/>
              </w:rPr>
              <w:t xml:space="preserve">                        253,055.00 </w:t>
            </w:r>
          </w:p>
        </w:tc>
      </w:tr>
      <w:tr w:rsidR="00F1339B" w:rsidRPr="00F1339B" w14:paraId="34DCE86F" w14:textId="77777777" w:rsidTr="00F1339B">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86909C3" w14:textId="77777777" w:rsidR="00F1339B" w:rsidRPr="00F1339B" w:rsidRDefault="00F1339B" w:rsidP="00F1339B">
            <w:pPr>
              <w:spacing w:after="0" w:line="240" w:lineRule="auto"/>
              <w:jc w:val="center"/>
              <w:rPr>
                <w:rFonts w:eastAsia="Times New Roman" w:cs="Calibri"/>
                <w:color w:val="000000"/>
                <w:sz w:val="16"/>
                <w:szCs w:val="16"/>
                <w:lang w:eastAsia="es-MX"/>
              </w:rPr>
            </w:pPr>
            <w:r w:rsidRPr="00F1339B">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20A85E93" w14:textId="77777777" w:rsidR="00F1339B" w:rsidRPr="00F1339B" w:rsidRDefault="00F1339B" w:rsidP="00F1339B">
            <w:pPr>
              <w:spacing w:after="0" w:line="240" w:lineRule="auto"/>
              <w:rPr>
                <w:rFonts w:eastAsia="Times New Roman" w:cs="Calibri"/>
                <w:color w:val="000000"/>
                <w:sz w:val="16"/>
                <w:szCs w:val="16"/>
                <w:lang w:eastAsia="es-MX"/>
              </w:rPr>
            </w:pPr>
            <w:r w:rsidRPr="00F1339B">
              <w:rPr>
                <w:rFonts w:eastAsia="Times New Roman" w:cs="Calibri"/>
                <w:color w:val="000000"/>
                <w:sz w:val="16"/>
                <w:szCs w:val="16"/>
                <w:lang w:eastAsia="es-MX"/>
              </w:rPr>
              <w:t>INSTITUTO ESTATAL DE CULTURA DEL ESTADO DE GUANAJUATO</w:t>
            </w:r>
          </w:p>
        </w:tc>
        <w:tc>
          <w:tcPr>
            <w:tcW w:w="1660" w:type="dxa"/>
            <w:tcBorders>
              <w:top w:val="nil"/>
              <w:left w:val="nil"/>
              <w:bottom w:val="single" w:sz="4" w:space="0" w:color="auto"/>
              <w:right w:val="single" w:sz="4" w:space="0" w:color="auto"/>
            </w:tcBorders>
            <w:shd w:val="clear" w:color="auto" w:fill="auto"/>
            <w:vAlign w:val="center"/>
            <w:hideMark/>
          </w:tcPr>
          <w:p w14:paraId="7640F3FB" w14:textId="77777777" w:rsidR="00F1339B" w:rsidRPr="00F1339B" w:rsidRDefault="00F1339B" w:rsidP="0005229E">
            <w:pPr>
              <w:spacing w:after="0" w:line="240" w:lineRule="auto"/>
              <w:jc w:val="right"/>
              <w:rPr>
                <w:rFonts w:eastAsia="Times New Roman" w:cs="Calibri"/>
                <w:color w:val="000000"/>
                <w:sz w:val="16"/>
                <w:szCs w:val="16"/>
                <w:lang w:eastAsia="es-MX"/>
              </w:rPr>
            </w:pPr>
            <w:r w:rsidRPr="00F1339B">
              <w:rPr>
                <w:rFonts w:eastAsia="Times New Roman" w:cs="Calibri"/>
                <w:color w:val="000000"/>
                <w:sz w:val="16"/>
                <w:szCs w:val="16"/>
                <w:lang w:eastAsia="es-MX"/>
              </w:rPr>
              <w:t xml:space="preserve">                        253,055.00 </w:t>
            </w:r>
          </w:p>
        </w:tc>
      </w:tr>
    </w:tbl>
    <w:p w14:paraId="6C966ED8" w14:textId="0B8726CA" w:rsidR="00725F90" w:rsidRDefault="00725F90" w:rsidP="00CB41C4">
      <w:pPr>
        <w:tabs>
          <w:tab w:val="left" w:leader="underscore" w:pos="9639"/>
        </w:tabs>
        <w:spacing w:after="0" w:line="240" w:lineRule="auto"/>
        <w:jc w:val="both"/>
        <w:rPr>
          <w:rFonts w:cs="Calibri"/>
        </w:rPr>
      </w:pPr>
    </w:p>
    <w:p w14:paraId="5AE7D58B" w14:textId="6F89F2A3" w:rsidR="00725F90" w:rsidRDefault="00725F90" w:rsidP="00CB41C4">
      <w:pPr>
        <w:tabs>
          <w:tab w:val="left" w:leader="underscore" w:pos="9639"/>
        </w:tabs>
        <w:spacing w:after="0" w:line="240" w:lineRule="auto"/>
        <w:jc w:val="both"/>
        <w:rPr>
          <w:rFonts w:cs="Calibri"/>
        </w:rPr>
      </w:pPr>
    </w:p>
    <w:p w14:paraId="1A2E4F54" w14:textId="77777777" w:rsidR="0005229E" w:rsidRPr="00E74967" w:rsidRDefault="0005229E"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7E602FF" w:rsidR="007D1E76" w:rsidRDefault="007D1E76" w:rsidP="00CB41C4">
      <w:pPr>
        <w:tabs>
          <w:tab w:val="left" w:leader="underscore" w:pos="9639"/>
        </w:tabs>
        <w:spacing w:after="0" w:line="240" w:lineRule="auto"/>
        <w:jc w:val="both"/>
        <w:rPr>
          <w:rFonts w:cs="Calibri"/>
        </w:rPr>
      </w:pPr>
    </w:p>
    <w:p w14:paraId="230CAB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0E0DC59C" w14:textId="5CE72BBC" w:rsidR="00725F90" w:rsidRDefault="00725F90" w:rsidP="00CB41C4">
      <w:pPr>
        <w:tabs>
          <w:tab w:val="left" w:leader="underscore" w:pos="9639"/>
        </w:tabs>
        <w:spacing w:after="0" w:line="240" w:lineRule="auto"/>
        <w:jc w:val="both"/>
        <w:rPr>
          <w:rFonts w:cs="Calibri"/>
        </w:rPr>
      </w:pPr>
    </w:p>
    <w:p w14:paraId="2B85B4CC" w14:textId="77777777" w:rsidR="00725F90" w:rsidRPr="00E74967" w:rsidRDefault="00725F90"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940251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84ED4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1E12656" w14:textId="11E183AB"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tipo de movimientos.</w:t>
      </w:r>
    </w:p>
    <w:p w14:paraId="69F25506" w14:textId="4707FF72" w:rsidR="007D1E76" w:rsidRDefault="007D1E76" w:rsidP="00CB41C4">
      <w:pPr>
        <w:tabs>
          <w:tab w:val="left" w:leader="underscore" w:pos="9639"/>
        </w:tabs>
        <w:spacing w:after="0" w:line="240" w:lineRule="auto"/>
        <w:jc w:val="both"/>
        <w:rPr>
          <w:rFonts w:cs="Calibri"/>
        </w:rPr>
      </w:pPr>
    </w:p>
    <w:p w14:paraId="18DF92A1" w14:textId="77777777" w:rsidR="00725F90" w:rsidRPr="00E74967" w:rsidRDefault="00725F90"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DD23B41" w14:textId="77777777" w:rsidR="00725F90" w:rsidRPr="00E74967" w:rsidRDefault="00725F90" w:rsidP="00725F90">
      <w:pPr>
        <w:tabs>
          <w:tab w:val="left" w:leader="underscore" w:pos="9639"/>
        </w:tabs>
        <w:spacing w:after="0" w:line="240" w:lineRule="auto"/>
        <w:jc w:val="both"/>
        <w:rPr>
          <w:rFonts w:cs="Calibri"/>
        </w:rPr>
      </w:pPr>
    </w:p>
    <w:p w14:paraId="75380121" w14:textId="77777777" w:rsidR="00725F90" w:rsidRPr="00C10CA0" w:rsidRDefault="00725F90" w:rsidP="00725F90">
      <w:pPr>
        <w:numPr>
          <w:ilvl w:val="0"/>
          <w:numId w:val="4"/>
        </w:numPr>
        <w:jc w:val="both"/>
        <w:rPr>
          <w:rFonts w:cs="Calibri"/>
        </w:rPr>
      </w:pPr>
      <w:r w:rsidRPr="00C10CA0">
        <w:rPr>
          <w:rFonts w:cs="Calibri"/>
        </w:rPr>
        <w:t>Lineamientos generales en materia de racionalidad, austeridad y disciplina presupuestal.</w:t>
      </w:r>
    </w:p>
    <w:p w14:paraId="00904B00" w14:textId="77777777" w:rsidR="00725F90" w:rsidRPr="00C10CA0" w:rsidRDefault="00725F90" w:rsidP="00725F90">
      <w:pPr>
        <w:numPr>
          <w:ilvl w:val="0"/>
          <w:numId w:val="4"/>
        </w:numPr>
        <w:jc w:val="both"/>
        <w:rPr>
          <w:rFonts w:cs="Calibri"/>
        </w:rPr>
      </w:pPr>
      <w:r w:rsidRPr="00C10CA0">
        <w:rPr>
          <w:rFonts w:cs="Calibri"/>
        </w:rPr>
        <w:t>Ley de hacienda para los municipios del estado de Guanajuato.</w:t>
      </w:r>
    </w:p>
    <w:p w14:paraId="3A99E3CA" w14:textId="77777777" w:rsidR="00725F90" w:rsidRPr="00C10CA0" w:rsidRDefault="00725F90" w:rsidP="00725F90">
      <w:pPr>
        <w:numPr>
          <w:ilvl w:val="0"/>
          <w:numId w:val="4"/>
        </w:numPr>
        <w:jc w:val="both"/>
        <w:rPr>
          <w:rFonts w:cs="Calibri"/>
        </w:rPr>
      </w:pPr>
      <w:r w:rsidRPr="00C10CA0">
        <w:rPr>
          <w:rFonts w:cs="Calibri"/>
        </w:rPr>
        <w:lastRenderedPageBreak/>
        <w:t>Reglamento de adquisiciones, arrendamientos y contratación de servicios relacionados con bienes muebles e inmuebles, para el municipio de Celaya.</w:t>
      </w:r>
    </w:p>
    <w:p w14:paraId="3CC49D57" w14:textId="4AE05355" w:rsidR="00725F90" w:rsidRPr="00C10CA0" w:rsidRDefault="00725F90" w:rsidP="00725F90">
      <w:pPr>
        <w:numPr>
          <w:ilvl w:val="0"/>
          <w:numId w:val="4"/>
        </w:numPr>
        <w:jc w:val="both"/>
        <w:rPr>
          <w:rFonts w:cs="Calibri"/>
        </w:rPr>
      </w:pPr>
      <w:r w:rsidRPr="00C10CA0">
        <w:rPr>
          <w:rFonts w:cs="Calibri"/>
        </w:rPr>
        <w:t xml:space="preserve">Ley de responsabilidades administrativas </w:t>
      </w:r>
      <w:r w:rsidR="00910A98">
        <w:rPr>
          <w:rFonts w:cs="Calibri"/>
        </w:rPr>
        <w:t>para el E</w:t>
      </w:r>
      <w:r w:rsidRPr="00C10CA0">
        <w:rPr>
          <w:rFonts w:cs="Calibri"/>
        </w:rPr>
        <w:t>stado de Guanajuato.</w:t>
      </w:r>
    </w:p>
    <w:p w14:paraId="5DD4F98E" w14:textId="77777777" w:rsidR="00725F90" w:rsidRPr="00C10CA0" w:rsidRDefault="00725F90" w:rsidP="00725F90">
      <w:pPr>
        <w:numPr>
          <w:ilvl w:val="0"/>
          <w:numId w:val="4"/>
        </w:numPr>
        <w:jc w:val="both"/>
        <w:rPr>
          <w:rFonts w:cs="Calibri"/>
        </w:rPr>
      </w:pPr>
      <w:r w:rsidRPr="00C10CA0">
        <w:rPr>
          <w:rFonts w:cs="Calibri"/>
        </w:rPr>
        <w:t>Ley del trabajo de los servidores públicos al servicio del estado y de los municipios.</w:t>
      </w:r>
    </w:p>
    <w:p w14:paraId="4E76AC74" w14:textId="77777777" w:rsidR="00725F90" w:rsidRPr="00C10CA0" w:rsidRDefault="00725F90" w:rsidP="00725F90">
      <w:pPr>
        <w:numPr>
          <w:ilvl w:val="0"/>
          <w:numId w:val="4"/>
        </w:numPr>
        <w:jc w:val="both"/>
        <w:rPr>
          <w:rFonts w:cs="Calibri"/>
        </w:rPr>
      </w:pPr>
      <w:r w:rsidRPr="00C10CA0">
        <w:rPr>
          <w:rFonts w:cs="Calibri"/>
        </w:rPr>
        <w:t>Ley para el ejercicio y control de los recursos públicos para el estado y los municipios de Guanajuato.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84AD9F4" w14:textId="77777777" w:rsidR="00910A98" w:rsidRDefault="00910A98" w:rsidP="00910A98">
      <w:pPr>
        <w:spacing w:after="0" w:line="240" w:lineRule="auto"/>
        <w:jc w:val="both"/>
        <w:rPr>
          <w:rFonts w:cs="Calibri"/>
        </w:rPr>
      </w:pPr>
    </w:p>
    <w:p w14:paraId="012DFDE1" w14:textId="481D2E67" w:rsidR="00910A98" w:rsidRPr="00C10CA0" w:rsidRDefault="00910A98" w:rsidP="00910A98">
      <w:pPr>
        <w:spacing w:after="0" w:line="240" w:lineRule="auto"/>
        <w:jc w:val="both"/>
        <w:rPr>
          <w:rFonts w:cs="Calibri"/>
        </w:rPr>
      </w:pPr>
      <w:r w:rsidRPr="00C10CA0">
        <w:rPr>
          <w:rFonts w:cs="Calibri"/>
        </w:rPr>
        <w:t xml:space="preserve">El presupuesto de ingresos y egresos </w:t>
      </w:r>
      <w:r w:rsidR="0005229E">
        <w:rPr>
          <w:rFonts w:cs="Calibri"/>
        </w:rPr>
        <w:t xml:space="preserve">modificado </w:t>
      </w:r>
      <w:r w:rsidRPr="00C10CA0">
        <w:rPr>
          <w:rFonts w:cs="Calibri"/>
        </w:rPr>
        <w:t xml:space="preserve">para el ejercicio </w:t>
      </w:r>
      <w:proofErr w:type="spellStart"/>
      <w:r w:rsidR="0005229E">
        <w:rPr>
          <w:rFonts w:cs="Calibri"/>
        </w:rPr>
        <w:t>esta</w:t>
      </w:r>
      <w:proofErr w:type="spellEnd"/>
      <w:r w:rsidRPr="00C10CA0">
        <w:rPr>
          <w:rFonts w:cs="Calibri"/>
        </w:rPr>
        <w:t xml:space="preserve"> en $</w:t>
      </w:r>
      <w:r>
        <w:rPr>
          <w:rFonts w:cs="Calibri"/>
        </w:rPr>
        <w:t>3</w:t>
      </w:r>
      <w:r w:rsidR="006D1681">
        <w:rPr>
          <w:rFonts w:cs="Calibri"/>
        </w:rPr>
        <w:t>8</w:t>
      </w:r>
      <w:r w:rsidRPr="00C10CA0">
        <w:rPr>
          <w:rFonts w:cs="Calibri"/>
        </w:rPr>
        <w:t>,</w:t>
      </w:r>
      <w:r w:rsidR="0005229E">
        <w:rPr>
          <w:rFonts w:cs="Calibri"/>
        </w:rPr>
        <w:t>971</w:t>
      </w:r>
      <w:r>
        <w:rPr>
          <w:rFonts w:cs="Calibri"/>
        </w:rPr>
        <w:t>,</w:t>
      </w:r>
      <w:r w:rsidR="0005229E">
        <w:rPr>
          <w:rFonts w:cs="Calibri"/>
        </w:rPr>
        <w:t>675</w:t>
      </w:r>
      <w:r w:rsidR="006D1681">
        <w:rPr>
          <w:rFonts w:cs="Calibri"/>
        </w:rPr>
        <w:t>.</w:t>
      </w:r>
      <w:r w:rsidR="0005229E">
        <w:rPr>
          <w:rFonts w:cs="Calibri"/>
        </w:rPr>
        <w:t>92</w:t>
      </w:r>
      <w:r w:rsidRPr="00C10CA0">
        <w:rPr>
          <w:rFonts w:cs="Calibri"/>
        </w:rPr>
        <w:t xml:space="preserve"> te</w:t>
      </w:r>
      <w:r>
        <w:rPr>
          <w:rFonts w:cs="Calibri"/>
        </w:rPr>
        <w:t>niendo un ingreso al 3</w:t>
      </w:r>
      <w:r w:rsidR="0005229E">
        <w:rPr>
          <w:rFonts w:cs="Calibri"/>
        </w:rPr>
        <w:t>0</w:t>
      </w:r>
      <w:r>
        <w:rPr>
          <w:rFonts w:cs="Calibri"/>
        </w:rPr>
        <w:t xml:space="preserve"> de </w:t>
      </w:r>
      <w:r w:rsidR="0005229E">
        <w:rPr>
          <w:rFonts w:cs="Calibri"/>
        </w:rPr>
        <w:t>junio</w:t>
      </w:r>
      <w:r w:rsidRPr="00C10CA0">
        <w:rPr>
          <w:rFonts w:cs="Calibri"/>
        </w:rPr>
        <w:t xml:space="preserve"> de $</w:t>
      </w:r>
      <w:r w:rsidR="0005229E">
        <w:rPr>
          <w:rFonts w:cs="Calibri"/>
        </w:rPr>
        <w:t>17</w:t>
      </w:r>
      <w:r w:rsidR="006D1681">
        <w:rPr>
          <w:rFonts w:cs="Calibri"/>
        </w:rPr>
        <w:t>,</w:t>
      </w:r>
      <w:r w:rsidR="0005229E">
        <w:rPr>
          <w:rFonts w:cs="Calibri"/>
        </w:rPr>
        <w:t>924</w:t>
      </w:r>
      <w:r w:rsidR="006D1681">
        <w:rPr>
          <w:rFonts w:cs="Calibri"/>
        </w:rPr>
        <w:t>,</w:t>
      </w:r>
      <w:r w:rsidR="0005229E">
        <w:rPr>
          <w:rFonts w:cs="Calibri"/>
        </w:rPr>
        <w:t>567</w:t>
      </w:r>
      <w:r w:rsidR="006D1681">
        <w:rPr>
          <w:rFonts w:cs="Calibri"/>
        </w:rPr>
        <w:t>.</w:t>
      </w:r>
      <w:r w:rsidR="0005229E">
        <w:rPr>
          <w:rFonts w:cs="Calibri"/>
        </w:rPr>
        <w:t>76</w:t>
      </w:r>
      <w:r w:rsidRPr="00C10CA0">
        <w:rPr>
          <w:rFonts w:cs="Calibri"/>
        </w:rPr>
        <w:t xml:space="preserve"> que representa el </w:t>
      </w:r>
      <w:r w:rsidR="0005229E">
        <w:rPr>
          <w:rFonts w:cs="Calibri"/>
        </w:rPr>
        <w:t>45</w:t>
      </w:r>
      <w:r w:rsidR="00F836AC">
        <w:rPr>
          <w:rFonts w:cs="Calibri"/>
        </w:rPr>
        <w:t>.</w:t>
      </w:r>
      <w:r w:rsidR="0005229E">
        <w:rPr>
          <w:rFonts w:cs="Calibri"/>
        </w:rPr>
        <w:t>74</w:t>
      </w:r>
      <w:r w:rsidRPr="00C10CA0">
        <w:rPr>
          <w:rFonts w:cs="Calibri"/>
        </w:rPr>
        <w:t>% y un egreso de $</w:t>
      </w:r>
      <w:r w:rsidR="0005229E">
        <w:rPr>
          <w:rFonts w:cs="Calibri"/>
        </w:rPr>
        <w:t>15</w:t>
      </w:r>
      <w:r>
        <w:rPr>
          <w:rFonts w:cs="Calibri"/>
        </w:rPr>
        <w:t>,</w:t>
      </w:r>
      <w:r w:rsidR="0005229E">
        <w:rPr>
          <w:rFonts w:cs="Calibri"/>
        </w:rPr>
        <w:t>037</w:t>
      </w:r>
      <w:r>
        <w:rPr>
          <w:rFonts w:cs="Calibri"/>
        </w:rPr>
        <w:t>,</w:t>
      </w:r>
      <w:r w:rsidR="0005229E">
        <w:rPr>
          <w:rFonts w:cs="Calibri"/>
        </w:rPr>
        <w:t>446</w:t>
      </w:r>
      <w:r w:rsidR="00F836AC">
        <w:rPr>
          <w:rFonts w:cs="Calibri"/>
        </w:rPr>
        <w:t>.</w:t>
      </w:r>
      <w:r w:rsidR="0005229E">
        <w:rPr>
          <w:rFonts w:cs="Calibri"/>
        </w:rPr>
        <w:t>58</w:t>
      </w:r>
      <w:r w:rsidRPr="00C10CA0">
        <w:rPr>
          <w:rFonts w:cs="Calibri"/>
        </w:rPr>
        <w:t xml:space="preserve"> que representa el </w:t>
      </w:r>
      <w:r w:rsidR="0005229E">
        <w:rPr>
          <w:rFonts w:cs="Calibri"/>
        </w:rPr>
        <w:t>38</w:t>
      </w:r>
      <w:r w:rsidR="00F836AC">
        <w:rPr>
          <w:rFonts w:cs="Calibri"/>
        </w:rPr>
        <w:t>.</w:t>
      </w:r>
      <w:r w:rsidR="0005229E">
        <w:rPr>
          <w:rFonts w:cs="Calibri"/>
        </w:rPr>
        <w:t>59</w:t>
      </w:r>
      <w:r w:rsidRPr="00C10CA0">
        <w:rPr>
          <w:rFonts w:cs="Calibri"/>
        </w:rPr>
        <w:t>%.</w:t>
      </w:r>
    </w:p>
    <w:p w14:paraId="6DD757EA" w14:textId="4969F6CD"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156FFE9E" w14:textId="1F9BCCA3" w:rsidR="00F836AC" w:rsidRDefault="00F836AC" w:rsidP="00F836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7064ED3" w14:textId="6B46D52E" w:rsidR="00E238AD" w:rsidRDefault="00E238AD" w:rsidP="00F836AC">
      <w:pPr>
        <w:tabs>
          <w:tab w:val="left" w:leader="underscore" w:pos="9639"/>
        </w:tabs>
        <w:spacing w:after="0" w:line="240" w:lineRule="auto"/>
        <w:jc w:val="both"/>
        <w:rPr>
          <w:rFonts w:asciiTheme="minorHAnsi" w:hAnsiTheme="minorHAnsi" w:cstheme="minorHAnsi"/>
          <w:sz w:val="24"/>
          <w:szCs w:val="24"/>
        </w:rPr>
      </w:pPr>
    </w:p>
    <w:p w14:paraId="176D42EB" w14:textId="77777777" w:rsidR="00E238AD" w:rsidRDefault="00E238AD" w:rsidP="00F836AC">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544753D9"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836AC"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E71E504" w14:textId="77777777" w:rsidR="00F836AC" w:rsidRDefault="00F836AC" w:rsidP="00F836AC">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687F00" w14:textId="77777777" w:rsidR="00F836AC" w:rsidRPr="00E74967" w:rsidRDefault="00F836AC"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BF47622" w14:textId="77777777" w:rsidR="00F836AC" w:rsidRDefault="00F836AC" w:rsidP="00CB41C4">
      <w:pPr>
        <w:tabs>
          <w:tab w:val="left" w:leader="underscore" w:pos="9639"/>
        </w:tabs>
        <w:spacing w:after="0" w:line="240" w:lineRule="auto"/>
        <w:jc w:val="both"/>
        <w:rPr>
          <w:rFonts w:cs="Calibri"/>
        </w:rPr>
      </w:pPr>
    </w:p>
    <w:p w14:paraId="78699B1C" w14:textId="430E714F" w:rsidR="007D1E76" w:rsidRPr="00E74967" w:rsidRDefault="00F836AC" w:rsidP="00CB41C4">
      <w:pPr>
        <w:tabs>
          <w:tab w:val="left" w:leader="underscore" w:pos="9639"/>
        </w:tabs>
        <w:spacing w:after="0" w:line="240" w:lineRule="auto"/>
        <w:jc w:val="both"/>
        <w:rPr>
          <w:rFonts w:cs="Calibri"/>
        </w:rPr>
      </w:pPr>
      <w:r>
        <w:rPr>
          <w:rFonts w:cs="Calibri"/>
        </w:rPr>
        <w:lastRenderedPageBreak/>
        <w:t xml:space="preserve">En el ente público, </w:t>
      </w:r>
      <w:r w:rsidRPr="00E74967">
        <w:rPr>
          <w:rFonts w:cs="Calibri"/>
        </w:rPr>
        <w:t>no existen partes relacionadas que pudieran ejercer influencia significativa sobre la toma de decisiones financieras y operativas</w:t>
      </w:r>
    </w:p>
    <w:p w14:paraId="6B68FD98" w14:textId="77777777" w:rsidR="00F836AC" w:rsidRDefault="00F836AC" w:rsidP="00F46719">
      <w:pPr>
        <w:pStyle w:val="Ttulo2"/>
        <w:rPr>
          <w:rFonts w:asciiTheme="minorHAnsi" w:hAnsiTheme="minorHAnsi" w:cstheme="minorHAnsi"/>
          <w:b/>
          <w:color w:val="auto"/>
          <w:sz w:val="22"/>
        </w:rPr>
      </w:pPr>
      <w:bookmarkStart w:id="17" w:name="_Toc508279637"/>
    </w:p>
    <w:p w14:paraId="3BD9AE07" w14:textId="77777777" w:rsidR="00F836AC" w:rsidRDefault="00F836AC" w:rsidP="00F46719">
      <w:pPr>
        <w:pStyle w:val="Ttulo2"/>
        <w:rPr>
          <w:rFonts w:asciiTheme="minorHAnsi" w:hAnsiTheme="minorHAnsi" w:cstheme="minorHAnsi"/>
          <w:b/>
          <w:color w:val="auto"/>
          <w:sz w:val="22"/>
        </w:rPr>
      </w:pPr>
    </w:p>
    <w:p w14:paraId="06707DA2" w14:textId="5508560A"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485A2A85" w14:textId="77777777" w:rsidR="00F836AC"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w:t>
      </w:r>
    </w:p>
    <w:p w14:paraId="0EF3E737" w14:textId="77777777" w:rsidR="00F836AC" w:rsidRDefault="00F836AC" w:rsidP="00CB41C4">
      <w:pPr>
        <w:tabs>
          <w:tab w:val="left" w:leader="underscore" w:pos="9639"/>
        </w:tabs>
        <w:spacing w:after="0" w:line="240" w:lineRule="auto"/>
        <w:jc w:val="both"/>
        <w:rPr>
          <w:rFonts w:cs="Calibri"/>
        </w:rPr>
      </w:pPr>
    </w:p>
    <w:p w14:paraId="50903296" w14:textId="6BA408D6"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68DF9" w14:textId="77777777" w:rsidR="000637E6" w:rsidRDefault="000637E6" w:rsidP="00E00323">
      <w:pPr>
        <w:spacing w:after="0" w:line="240" w:lineRule="auto"/>
      </w:pPr>
      <w:r>
        <w:separator/>
      </w:r>
    </w:p>
  </w:endnote>
  <w:endnote w:type="continuationSeparator" w:id="0">
    <w:p w14:paraId="196BBD78" w14:textId="77777777" w:rsidR="000637E6" w:rsidRDefault="000637E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523E388E" w:rsidR="00B517A2" w:rsidRDefault="00B517A2">
        <w:pPr>
          <w:pStyle w:val="Piedepgina"/>
          <w:jc w:val="right"/>
        </w:pPr>
        <w:r>
          <w:fldChar w:fldCharType="begin"/>
        </w:r>
        <w:r>
          <w:instrText>PAGE   \* MERGEFORMAT</w:instrText>
        </w:r>
        <w:r>
          <w:fldChar w:fldCharType="separate"/>
        </w:r>
        <w:r w:rsidR="009D3447" w:rsidRPr="009D3447">
          <w:rPr>
            <w:noProof/>
            <w:lang w:val="es-ES"/>
          </w:rPr>
          <w:t>1</w:t>
        </w:r>
        <w:r>
          <w:fldChar w:fldCharType="end"/>
        </w:r>
      </w:p>
    </w:sdtContent>
  </w:sdt>
  <w:p w14:paraId="37983FFD" w14:textId="77777777" w:rsidR="00B517A2" w:rsidRDefault="00B51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A4DA4" w14:textId="77777777" w:rsidR="000637E6" w:rsidRDefault="000637E6" w:rsidP="00E00323">
      <w:pPr>
        <w:spacing w:after="0" w:line="240" w:lineRule="auto"/>
      </w:pPr>
      <w:r>
        <w:separator/>
      </w:r>
    </w:p>
  </w:footnote>
  <w:footnote w:type="continuationSeparator" w:id="0">
    <w:p w14:paraId="1ACC409A" w14:textId="77777777" w:rsidR="000637E6" w:rsidRDefault="000637E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4319FC0" w:rsidR="00B517A2" w:rsidRDefault="00B517A2" w:rsidP="00A4610E">
    <w:pPr>
      <w:pStyle w:val="Encabezado"/>
      <w:spacing w:after="0" w:line="240" w:lineRule="auto"/>
      <w:jc w:val="center"/>
    </w:pPr>
    <w:r>
      <w:t>INSTITUTO MUNICIPAL DE ARTE Y CULTURA DE CELAYA</w:t>
    </w:r>
  </w:p>
  <w:p w14:paraId="651A4C4F" w14:textId="441B3E79" w:rsidR="00B517A2" w:rsidRDefault="00B517A2" w:rsidP="00A4610E">
    <w:pPr>
      <w:pStyle w:val="Encabezado"/>
      <w:spacing w:after="0" w:line="240" w:lineRule="auto"/>
      <w:jc w:val="center"/>
    </w:pPr>
    <w:r w:rsidRPr="00A4610E">
      <w:t xml:space="preserve">CORRESPONDINTES AL </w:t>
    </w:r>
    <w:r>
      <w:t>3</w:t>
    </w:r>
    <w:r w:rsidR="009D3447">
      <w:t>0</w:t>
    </w:r>
    <w:r>
      <w:t xml:space="preserve"> </w:t>
    </w:r>
    <w:r w:rsidR="009D3447">
      <w:t>DE</w:t>
    </w:r>
    <w:r>
      <w:t xml:space="preserve"> </w:t>
    </w:r>
    <w:r w:rsidR="009D3447">
      <w:t>JUNIO</w:t>
    </w:r>
    <w:r>
      <w:t xml:space="preserve"> DEL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B0261"/>
    <w:multiLevelType w:val="hybridMultilevel"/>
    <w:tmpl w:val="DA0EFEAE"/>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890896"/>
    <w:multiLevelType w:val="hybridMultilevel"/>
    <w:tmpl w:val="D8A82530"/>
    <w:lvl w:ilvl="0" w:tplc="1A16350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60A02CCA"/>
    <w:multiLevelType w:val="hybridMultilevel"/>
    <w:tmpl w:val="D6541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CFF"/>
    <w:rsid w:val="00040D4F"/>
    <w:rsid w:val="0005229E"/>
    <w:rsid w:val="000637E6"/>
    <w:rsid w:val="00084EAE"/>
    <w:rsid w:val="00086468"/>
    <w:rsid w:val="00091CE6"/>
    <w:rsid w:val="000A681B"/>
    <w:rsid w:val="000B7810"/>
    <w:rsid w:val="000C3365"/>
    <w:rsid w:val="0012405A"/>
    <w:rsid w:val="00154BA3"/>
    <w:rsid w:val="001973A2"/>
    <w:rsid w:val="001A562F"/>
    <w:rsid w:val="001C75F2"/>
    <w:rsid w:val="001D2063"/>
    <w:rsid w:val="001D43E9"/>
    <w:rsid w:val="00207067"/>
    <w:rsid w:val="00275C28"/>
    <w:rsid w:val="003453CA"/>
    <w:rsid w:val="00371DEF"/>
    <w:rsid w:val="00435A87"/>
    <w:rsid w:val="004A58C8"/>
    <w:rsid w:val="004F234D"/>
    <w:rsid w:val="0054701E"/>
    <w:rsid w:val="005572EC"/>
    <w:rsid w:val="005B5531"/>
    <w:rsid w:val="005D3E43"/>
    <w:rsid w:val="005E231E"/>
    <w:rsid w:val="00657009"/>
    <w:rsid w:val="00681C79"/>
    <w:rsid w:val="006D1681"/>
    <w:rsid w:val="006F57E5"/>
    <w:rsid w:val="00725F90"/>
    <w:rsid w:val="00735195"/>
    <w:rsid w:val="007610BC"/>
    <w:rsid w:val="007714AB"/>
    <w:rsid w:val="007B170C"/>
    <w:rsid w:val="007D1E76"/>
    <w:rsid w:val="007D4484"/>
    <w:rsid w:val="008569D5"/>
    <w:rsid w:val="0086459F"/>
    <w:rsid w:val="008C3BB8"/>
    <w:rsid w:val="008E076C"/>
    <w:rsid w:val="00910A98"/>
    <w:rsid w:val="0092765C"/>
    <w:rsid w:val="009D3447"/>
    <w:rsid w:val="009F0A82"/>
    <w:rsid w:val="00A4610E"/>
    <w:rsid w:val="00A730E0"/>
    <w:rsid w:val="00AA41E5"/>
    <w:rsid w:val="00AB722B"/>
    <w:rsid w:val="00AE1F6A"/>
    <w:rsid w:val="00B32688"/>
    <w:rsid w:val="00B517A2"/>
    <w:rsid w:val="00BE1EA1"/>
    <w:rsid w:val="00C03AD5"/>
    <w:rsid w:val="00C97E1E"/>
    <w:rsid w:val="00CB41C4"/>
    <w:rsid w:val="00CF1316"/>
    <w:rsid w:val="00D13C44"/>
    <w:rsid w:val="00D975B1"/>
    <w:rsid w:val="00E00323"/>
    <w:rsid w:val="00E238AD"/>
    <w:rsid w:val="00E278FE"/>
    <w:rsid w:val="00E74967"/>
    <w:rsid w:val="00E7559F"/>
    <w:rsid w:val="00EA37F5"/>
    <w:rsid w:val="00EA7915"/>
    <w:rsid w:val="00F1339B"/>
    <w:rsid w:val="00F46719"/>
    <w:rsid w:val="00F54F6F"/>
    <w:rsid w:val="00F65A92"/>
    <w:rsid w:val="00F8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11594">
      <w:bodyDiv w:val="1"/>
      <w:marLeft w:val="0"/>
      <w:marRight w:val="0"/>
      <w:marTop w:val="0"/>
      <w:marBottom w:val="0"/>
      <w:divBdr>
        <w:top w:val="none" w:sz="0" w:space="0" w:color="auto"/>
        <w:left w:val="none" w:sz="0" w:space="0" w:color="auto"/>
        <w:bottom w:val="none" w:sz="0" w:space="0" w:color="auto"/>
        <w:right w:val="none" w:sz="0" w:space="0" w:color="auto"/>
      </w:divBdr>
    </w:div>
    <w:div w:id="1128203693">
      <w:bodyDiv w:val="1"/>
      <w:marLeft w:val="0"/>
      <w:marRight w:val="0"/>
      <w:marTop w:val="0"/>
      <w:marBottom w:val="0"/>
      <w:divBdr>
        <w:top w:val="none" w:sz="0" w:space="0" w:color="auto"/>
        <w:left w:val="none" w:sz="0" w:space="0" w:color="auto"/>
        <w:bottom w:val="none" w:sz="0" w:space="0" w:color="auto"/>
        <w:right w:val="none" w:sz="0" w:space="0" w:color="auto"/>
      </w:divBdr>
    </w:div>
    <w:div w:id="1554345101">
      <w:bodyDiv w:val="1"/>
      <w:marLeft w:val="0"/>
      <w:marRight w:val="0"/>
      <w:marTop w:val="0"/>
      <w:marBottom w:val="0"/>
      <w:divBdr>
        <w:top w:val="none" w:sz="0" w:space="0" w:color="auto"/>
        <w:left w:val="none" w:sz="0" w:space="0" w:color="auto"/>
        <w:bottom w:val="none" w:sz="0" w:space="0" w:color="auto"/>
        <w:right w:val="none" w:sz="0" w:space="0" w:color="auto"/>
      </w:divBdr>
    </w:div>
    <w:div w:id="1726873773">
      <w:bodyDiv w:val="1"/>
      <w:marLeft w:val="0"/>
      <w:marRight w:val="0"/>
      <w:marTop w:val="0"/>
      <w:marBottom w:val="0"/>
      <w:divBdr>
        <w:top w:val="none" w:sz="0" w:space="0" w:color="auto"/>
        <w:left w:val="none" w:sz="0" w:space="0" w:color="auto"/>
        <w:bottom w:val="none" w:sz="0" w:space="0" w:color="auto"/>
        <w:right w:val="none" w:sz="0" w:space="0" w:color="auto"/>
      </w:divBdr>
    </w:div>
    <w:div w:id="1738743167">
      <w:bodyDiv w:val="1"/>
      <w:marLeft w:val="0"/>
      <w:marRight w:val="0"/>
      <w:marTop w:val="0"/>
      <w:marBottom w:val="0"/>
      <w:divBdr>
        <w:top w:val="none" w:sz="0" w:space="0" w:color="auto"/>
        <w:left w:val="none" w:sz="0" w:space="0" w:color="auto"/>
        <w:bottom w:val="none" w:sz="0" w:space="0" w:color="auto"/>
        <w:right w:val="none" w:sz="0" w:space="0" w:color="auto"/>
      </w:divBdr>
    </w:div>
    <w:div w:id="1992632702">
      <w:bodyDiv w:val="1"/>
      <w:marLeft w:val="0"/>
      <w:marRight w:val="0"/>
      <w:marTop w:val="0"/>
      <w:marBottom w:val="0"/>
      <w:divBdr>
        <w:top w:val="none" w:sz="0" w:space="0" w:color="auto"/>
        <w:left w:val="none" w:sz="0" w:space="0" w:color="auto"/>
        <w:bottom w:val="none" w:sz="0" w:space="0" w:color="auto"/>
        <w:right w:val="none" w:sz="0" w:space="0" w:color="auto"/>
      </w:divBdr>
    </w:div>
    <w:div w:id="20602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788E95-A510-48F1-86DF-2F7318DE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4712</Words>
  <Characters>25919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30570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2019-07-17T18:55:00Z</dcterms:created>
  <dcterms:modified xsi:type="dcterms:W3CDTF">2019-07-17T18:55:00Z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