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D7EA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37DD7F92" w:rsidR="007D1E76" w:rsidRPr="00E74967" w:rsidRDefault="009019D9" w:rsidP="00CB41C4">
      <w:pPr>
        <w:tabs>
          <w:tab w:val="left" w:leader="underscore" w:pos="9639"/>
        </w:tabs>
        <w:spacing w:after="0" w:line="240" w:lineRule="auto"/>
        <w:jc w:val="both"/>
        <w:rPr>
          <w:rFonts w:cs="Calibri"/>
        </w:rPr>
      </w:pPr>
      <w:r>
        <w:rPr>
          <w:rFonts w:cs="Calibri"/>
        </w:rPr>
        <w:t xml:space="preserve"> </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4D7EA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4D7EA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4D7EA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4D7EA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4D7EA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4D7EA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4D7EA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4D7EA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4D7EA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4D7EA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4D7EA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4D7EA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4D7EA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4D7EA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4D7EA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4D7EA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D49B377" w14:textId="77777777" w:rsidR="001F1242" w:rsidRDefault="001F1242" w:rsidP="001F1242">
      <w:pPr>
        <w:rPr>
          <w:rFonts w:ascii="Arial" w:hAnsi="Arial" w:cs="Arial"/>
          <w:sz w:val="20"/>
          <w:szCs w:val="20"/>
          <w:u w:val="single"/>
        </w:rPr>
      </w:pPr>
    </w:p>
    <w:p w14:paraId="7F142FBC" w14:textId="77777777" w:rsidR="001F1242" w:rsidRPr="00E7588A" w:rsidRDefault="001F1242" w:rsidP="001F1242">
      <w:pPr>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CD89E9D" w14:textId="77777777" w:rsidR="001F1242" w:rsidRDefault="001F1242" w:rsidP="001F1242">
      <w:pPr>
        <w:pStyle w:val="NormalWeb"/>
        <w:shd w:val="clear" w:color="auto" w:fill="FFFFFF"/>
        <w:spacing w:before="0" w:beforeAutospacing="0" w:after="189" w:afterAutospacing="0" w:line="360" w:lineRule="auto"/>
        <w:jc w:val="both"/>
        <w:rPr>
          <w:rFonts w:ascii="Arial" w:eastAsia="Calibri" w:hAnsi="Arial" w:cs="Arial"/>
          <w:sz w:val="20"/>
          <w:szCs w:val="20"/>
          <w:u w:val="single"/>
          <w:lang w:eastAsia="en-US"/>
        </w:rPr>
      </w:pPr>
    </w:p>
    <w:p w14:paraId="1423118A" w14:textId="77777777" w:rsidR="00A84D75" w:rsidRPr="00A84D75" w:rsidRDefault="00A84D75" w:rsidP="00A84D75">
      <w:pPr>
        <w:autoSpaceDE w:val="0"/>
        <w:autoSpaceDN w:val="0"/>
        <w:adjustRightInd w:val="0"/>
        <w:spacing w:line="360" w:lineRule="auto"/>
        <w:jc w:val="both"/>
        <w:rPr>
          <w:rFonts w:ascii="Arial" w:hAnsi="Arial" w:cs="Arial"/>
          <w:sz w:val="20"/>
          <w:szCs w:val="20"/>
          <w:u w:val="single"/>
        </w:rPr>
      </w:pPr>
      <w:r w:rsidRPr="00A84D75">
        <w:rPr>
          <w:rFonts w:ascii="Arial" w:hAnsi="Arial" w:cs="Arial"/>
          <w:sz w:val="20"/>
          <w:szCs w:val="20"/>
          <w:u w:val="single"/>
        </w:rPr>
        <w:t xml:space="preserve">El martes 22 de mayo de 2018, en el marco de su LX Reunión Trimestral, la segunda reunión trimestral del año 2018, el Centro de </w:t>
      </w:r>
      <w:proofErr w:type="spellStart"/>
      <w:r w:rsidRPr="00A84D75">
        <w:rPr>
          <w:rFonts w:ascii="Arial" w:hAnsi="Arial" w:cs="Arial"/>
          <w:sz w:val="20"/>
          <w:szCs w:val="20"/>
          <w:u w:val="single"/>
        </w:rPr>
        <w:t>Modelística</w:t>
      </w:r>
      <w:proofErr w:type="spellEnd"/>
      <w:r w:rsidRPr="00A84D75">
        <w:rPr>
          <w:rFonts w:ascii="Arial" w:hAnsi="Arial" w:cs="Arial"/>
          <w:sz w:val="20"/>
          <w:szCs w:val="20"/>
          <w:u w:val="single"/>
        </w:rPr>
        <w:t xml:space="preserve"> y Pronósticos Económicos (CEMPE), de la Facultad de Economía de la Universidad Nacional Autónoma de México (UNAM), presentó sus “Pronósticos económicos 2018-2019” para la economía mexicana. A continuación, se presenta la información.</w:t>
      </w:r>
    </w:p>
    <w:p w14:paraId="2064A4F0" w14:textId="77777777" w:rsidR="00A84D75" w:rsidRPr="000137B0" w:rsidRDefault="00A84D75" w:rsidP="00A84D75">
      <w:pPr>
        <w:pStyle w:val="Prrafodelista"/>
        <w:autoSpaceDE w:val="0"/>
        <w:autoSpaceDN w:val="0"/>
        <w:adjustRightInd w:val="0"/>
        <w:rPr>
          <w:b/>
          <w:bCs/>
          <w:color w:val="000000"/>
          <w:sz w:val="13"/>
          <w:szCs w:val="13"/>
        </w:rPr>
      </w:pPr>
      <w:r>
        <w:rPr>
          <w:noProof/>
          <w:lang w:eastAsia="es-MX"/>
        </w:rPr>
        <w:drawing>
          <wp:inline distT="0" distB="0" distL="0" distR="0" wp14:anchorId="78BD000F" wp14:editId="05B82F3F">
            <wp:extent cx="4591184" cy="29932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5614" t="24185" r="15139" b="3533"/>
                    <a:stretch>
                      <a:fillRect/>
                    </a:stretch>
                  </pic:blipFill>
                  <pic:spPr bwMode="auto">
                    <a:xfrm>
                      <a:off x="0" y="0"/>
                      <a:ext cx="4594346" cy="2995334"/>
                    </a:xfrm>
                    <a:prstGeom prst="rect">
                      <a:avLst/>
                    </a:prstGeom>
                    <a:noFill/>
                    <a:ln w="9525">
                      <a:noFill/>
                      <a:miter lim="800000"/>
                      <a:headEnd/>
                      <a:tailEnd/>
                    </a:ln>
                  </pic:spPr>
                </pic:pic>
              </a:graphicData>
            </a:graphic>
          </wp:inline>
        </w:drawing>
      </w:r>
    </w:p>
    <w:p w14:paraId="501861CE" w14:textId="77777777" w:rsidR="00A84D75" w:rsidRDefault="00A84D75" w:rsidP="00A84D75">
      <w:pPr>
        <w:pStyle w:val="Prrafodelista"/>
        <w:autoSpaceDE w:val="0"/>
        <w:autoSpaceDN w:val="0"/>
        <w:adjustRightInd w:val="0"/>
        <w:rPr>
          <w:b/>
          <w:bCs/>
          <w:color w:val="000000"/>
          <w:sz w:val="20"/>
          <w:szCs w:val="20"/>
        </w:rPr>
      </w:pPr>
    </w:p>
    <w:p w14:paraId="526CF4C6" w14:textId="77777777" w:rsidR="00A84D75" w:rsidRPr="000137B0" w:rsidRDefault="00A84D75" w:rsidP="00A84D75">
      <w:pPr>
        <w:pStyle w:val="Prrafodelista"/>
        <w:autoSpaceDE w:val="0"/>
        <w:autoSpaceDN w:val="0"/>
        <w:adjustRightInd w:val="0"/>
        <w:rPr>
          <w:color w:val="000000"/>
          <w:sz w:val="12"/>
          <w:szCs w:val="20"/>
        </w:rPr>
      </w:pPr>
      <w:r w:rsidRPr="000137B0">
        <w:rPr>
          <w:b/>
          <w:bCs/>
          <w:color w:val="000000"/>
          <w:sz w:val="12"/>
          <w:szCs w:val="20"/>
        </w:rPr>
        <w:t>Fuente de información</w:t>
      </w:r>
      <w:r w:rsidRPr="000137B0">
        <w:rPr>
          <w:color w:val="000000"/>
          <w:sz w:val="12"/>
          <w:szCs w:val="20"/>
        </w:rPr>
        <w:t>:</w:t>
      </w:r>
    </w:p>
    <w:p w14:paraId="38F74112"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http://www.economia.unam.mx/cempe/</w:t>
      </w:r>
    </w:p>
    <w:p w14:paraId="00883406"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 xml:space="preserve">Para tener acceso a la transmisión en vivo, a través de </w:t>
      </w:r>
      <w:proofErr w:type="spellStart"/>
      <w:r w:rsidRPr="000137B0">
        <w:rPr>
          <w:i/>
          <w:iCs/>
          <w:color w:val="000000"/>
          <w:sz w:val="12"/>
          <w:szCs w:val="20"/>
        </w:rPr>
        <w:t>Youtube</w:t>
      </w:r>
      <w:proofErr w:type="spellEnd"/>
      <w:r w:rsidRPr="000137B0">
        <w:rPr>
          <w:i/>
          <w:iCs/>
          <w:color w:val="000000"/>
          <w:sz w:val="12"/>
          <w:szCs w:val="20"/>
        </w:rPr>
        <w:t xml:space="preserve"> </w:t>
      </w:r>
      <w:r w:rsidRPr="000137B0">
        <w:rPr>
          <w:color w:val="000000"/>
          <w:sz w:val="12"/>
          <w:szCs w:val="20"/>
        </w:rPr>
        <w:t>visite:</w:t>
      </w:r>
    </w:p>
    <w:p w14:paraId="04406D8D"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https://www.youtube.com/channel/UCXt14TvEiHQjznm1uaUpbSA</w:t>
      </w:r>
    </w:p>
    <w:p w14:paraId="36B76383"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https://youtu.be/_TVzbp5uiQw</w:t>
      </w:r>
    </w:p>
    <w:p w14:paraId="34715AC9"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 xml:space="preserve">Para tener acceso al evento vía </w:t>
      </w:r>
      <w:r w:rsidRPr="000137B0">
        <w:rPr>
          <w:i/>
          <w:iCs/>
          <w:color w:val="000000"/>
          <w:sz w:val="12"/>
          <w:szCs w:val="20"/>
        </w:rPr>
        <w:t xml:space="preserve">Facebook Live </w:t>
      </w:r>
      <w:r w:rsidRPr="000137B0">
        <w:rPr>
          <w:color w:val="000000"/>
          <w:sz w:val="12"/>
          <w:szCs w:val="20"/>
        </w:rPr>
        <w:t>visite:</w:t>
      </w:r>
    </w:p>
    <w:p w14:paraId="7BB4A277"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https://www.facebook.com/centrodemodelistica.pronosticoseconomicos</w:t>
      </w:r>
    </w:p>
    <w:p w14:paraId="5BC99A14"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Para tener acceso a las ponencias, visite:</w:t>
      </w:r>
    </w:p>
    <w:p w14:paraId="6028CC01"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https://youtu.be/_TVzbp5uiQw</w:t>
      </w:r>
    </w:p>
    <w:p w14:paraId="18271AEE"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Para tener acceso a información adicional visite:</w:t>
      </w:r>
    </w:p>
    <w:p w14:paraId="2F40EAC3"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http://www.economia.unam.mx/cempe/index_htm_files/2018-05-22.pdf</w:t>
      </w:r>
    </w:p>
    <w:p w14:paraId="687B0D8F"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lastRenderedPageBreak/>
        <w:t>http://www.economia.unam.mx/cempe/index_htm_files/LX%20reunion%20trimestral.jpeg</w:t>
      </w:r>
    </w:p>
    <w:p w14:paraId="53C4152B" w14:textId="77777777" w:rsidR="00A84D75" w:rsidRPr="000137B0" w:rsidRDefault="00A84D75" w:rsidP="00A84D75">
      <w:pPr>
        <w:pStyle w:val="Prrafodelista"/>
        <w:autoSpaceDE w:val="0"/>
        <w:autoSpaceDN w:val="0"/>
        <w:adjustRightInd w:val="0"/>
        <w:rPr>
          <w:sz w:val="16"/>
        </w:rPr>
      </w:pPr>
      <w:r w:rsidRPr="000137B0">
        <w:rPr>
          <w:color w:val="000000"/>
          <w:sz w:val="16"/>
        </w:rPr>
        <w:t xml:space="preserve">F1 P-07-02 Rev.00  </w:t>
      </w:r>
      <w:r w:rsidRPr="000137B0">
        <w:rPr>
          <w:sz w:val="16"/>
        </w:rPr>
        <w:t>Perspectivas económicas (OCDE)</w:t>
      </w:r>
    </w:p>
    <w:p w14:paraId="246CF3E1" w14:textId="77777777" w:rsidR="00A84D75" w:rsidRPr="00A84D75" w:rsidRDefault="00A84D75" w:rsidP="00A84D75">
      <w:pPr>
        <w:pStyle w:val="Prrafodelista"/>
        <w:spacing w:line="360" w:lineRule="auto"/>
        <w:ind w:left="0"/>
        <w:jc w:val="both"/>
        <w:rPr>
          <w:rFonts w:ascii="Arial" w:hAnsi="Arial" w:cs="Arial"/>
          <w:sz w:val="20"/>
          <w:szCs w:val="20"/>
          <w:u w:val="single"/>
        </w:rPr>
      </w:pPr>
      <w:r w:rsidRPr="00A84D75">
        <w:rPr>
          <w:rFonts w:ascii="Arial" w:hAnsi="Arial" w:cs="Arial"/>
          <w:sz w:val="20"/>
          <w:szCs w:val="20"/>
          <w:u w:val="single"/>
        </w:rPr>
        <w:t>El 30 de mayo de 2018, de conformidad con el informe más reciente de la Organización para la Cooperación y el Desarrollo Económicos (OCDE), Perspectivas económicas, (</w:t>
      </w:r>
      <w:proofErr w:type="spellStart"/>
      <w:r w:rsidRPr="00A84D75">
        <w:rPr>
          <w:rFonts w:ascii="Arial" w:hAnsi="Arial" w:cs="Arial"/>
          <w:sz w:val="20"/>
          <w:szCs w:val="20"/>
          <w:u w:val="single"/>
        </w:rPr>
        <w:t>Economic</w:t>
      </w:r>
      <w:proofErr w:type="spellEnd"/>
      <w:r w:rsidRPr="00A84D75">
        <w:rPr>
          <w:rFonts w:ascii="Arial" w:hAnsi="Arial" w:cs="Arial"/>
          <w:sz w:val="20"/>
          <w:szCs w:val="20"/>
          <w:u w:val="single"/>
        </w:rPr>
        <w:t xml:space="preserve"> Outlook), la economía mundial muestra un crecimiento más fuerte, impulsado por un repunte en el comercio, una mayor inversión y una boyante creación de empleos, todo ello apoyado por una alta flexibilidad en las políticas monetaria y fiscal.</w:t>
      </w:r>
    </w:p>
    <w:p w14:paraId="02D4CFBD" w14:textId="77777777" w:rsidR="00A84D75" w:rsidRPr="00A84D75" w:rsidRDefault="00A84D75" w:rsidP="00A84D75">
      <w:pPr>
        <w:pStyle w:val="Prrafodelista"/>
        <w:spacing w:line="360" w:lineRule="auto"/>
        <w:jc w:val="both"/>
        <w:rPr>
          <w:rFonts w:ascii="Arial" w:hAnsi="Arial" w:cs="Arial"/>
          <w:sz w:val="20"/>
          <w:szCs w:val="20"/>
          <w:u w:val="single"/>
        </w:rPr>
      </w:pPr>
    </w:p>
    <w:p w14:paraId="393246B3"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espera que durante el período 2018-2019 el ritmo de la expansión mundial rondará el 4%, cifra cercana al promedio a largo plazo. Sin embargo, en las Perspectivas se destaca que se avecinan riesgos importantes causados por tensiones comerciales, vulnerabilidades del mercado financiero y alzas en los precios del petróleo; asimismo, que queda mucho por hacer para alcanzar una fuerte y resiliente mejora a mediano plazo en el nivel de vida.</w:t>
      </w:r>
    </w:p>
    <w:p w14:paraId="58CF0DFB" w14:textId="77777777" w:rsidR="00A84D75" w:rsidRPr="00A84D75" w:rsidRDefault="00A84D75" w:rsidP="00A84D75">
      <w:pPr>
        <w:pStyle w:val="Prrafodelista"/>
        <w:spacing w:line="360" w:lineRule="auto"/>
        <w:jc w:val="both"/>
        <w:rPr>
          <w:rFonts w:ascii="Arial" w:hAnsi="Arial" w:cs="Arial"/>
          <w:sz w:val="20"/>
          <w:szCs w:val="20"/>
          <w:u w:val="single"/>
        </w:rPr>
      </w:pPr>
    </w:p>
    <w:p w14:paraId="1A583592"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Las bajas, aunque gradualmente crecientes, tasas de interés, aunadas a la flexibilización fiscal implementada en muchos países, seguirá apuntalando la expansión, la cual generará moderados aumentos en los salarios y la inflación. Se espera que el desempleo en los países de la OCDE disminuya a sus niveles más bajos desde 1980, pero es posible tomar más medidas para atraer a más personas a la fuerza laboral.</w:t>
      </w:r>
    </w:p>
    <w:p w14:paraId="450BDE48" w14:textId="77777777" w:rsidR="00A84D75" w:rsidRPr="00A84D75" w:rsidRDefault="00A84D75" w:rsidP="00A84D75">
      <w:pPr>
        <w:pStyle w:val="Prrafodelista"/>
        <w:spacing w:line="360" w:lineRule="auto"/>
        <w:jc w:val="both"/>
        <w:rPr>
          <w:rFonts w:ascii="Arial" w:hAnsi="Arial" w:cs="Arial"/>
          <w:sz w:val="20"/>
          <w:szCs w:val="20"/>
          <w:u w:val="single"/>
        </w:rPr>
      </w:pPr>
    </w:p>
    <w:p w14:paraId="735B4B7E"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espera que la expansión económica continuará durante los próximos dos años y las perspectivas de crecimiento a corto plazo son más favorables que las observadas en muchos años anteriores”, aseveró el Secretario General de la OCDE. “No obstante, la recuperación actual aún es respaldada por políticas muy flexibles en el ámbito monetario y, cada vez más, en el ámbito fiscal. Esto sugiere que aún no se ha logrado un crecimiento fuerte y autosuficiente.”</w:t>
      </w:r>
    </w:p>
    <w:p w14:paraId="106C0ABA" w14:textId="77777777" w:rsidR="00A84D75" w:rsidRPr="00A84D75" w:rsidRDefault="00A84D75" w:rsidP="00A84D75">
      <w:pPr>
        <w:pStyle w:val="Prrafodelista"/>
        <w:spacing w:line="360" w:lineRule="auto"/>
        <w:jc w:val="both"/>
        <w:rPr>
          <w:rFonts w:ascii="Arial" w:hAnsi="Arial" w:cs="Arial"/>
          <w:sz w:val="20"/>
          <w:szCs w:val="20"/>
          <w:u w:val="single"/>
        </w:rPr>
      </w:pPr>
    </w:p>
    <w:p w14:paraId="1BE42F0E"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 “Es necesario que los responsables de la formulación de políticas públicas se enfoquen más en políticas estructurales para promover las competencias y mejorar la productividad, con el fin de lograr un crecimiento, fuerte, sostenible e incluyente”, agregó. En las Perspectivas se presentan diversos riesgos para la expansión actual. Los precios del petróleo aumentaron en gran medida el año pasado y, de sostenerse, podrían aumentar la inflación y a la vez atenuar el incremento real del ingreso familiar. La amenaza de restricciones comerciales ha comenzado a afectar desfavorablemente la confianza y, de ponerse en práctica estas medidas, ejercerían una influencia negativa en la inversión y el empleo.</w:t>
      </w:r>
    </w:p>
    <w:p w14:paraId="1BEDE961" w14:textId="77777777" w:rsidR="00A84D75" w:rsidRPr="00A84D75" w:rsidRDefault="00A84D75" w:rsidP="00A84D75">
      <w:pPr>
        <w:pStyle w:val="Prrafodelista"/>
        <w:spacing w:line="360" w:lineRule="auto"/>
        <w:jc w:val="both"/>
        <w:rPr>
          <w:rFonts w:ascii="Arial" w:hAnsi="Arial" w:cs="Arial"/>
          <w:sz w:val="20"/>
          <w:szCs w:val="20"/>
          <w:u w:val="single"/>
        </w:rPr>
      </w:pPr>
    </w:p>
    <w:p w14:paraId="111EF80C"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lastRenderedPageBreak/>
        <w:t>También prevalece el riesgo de que la normalización de las tasas de interés en algunas economías, en particular en Estados Unidos de Norteamérica, pudiera exponer vulnerabilidades y tensiones financieras creadas por una alta toma de riesgos en los mercados financieros y un elevado endeudamiento, especialmente en economías de mercados emergentes con altos niveles de deuda en divisas. La flexibilización fiscal procíclica acentúa estos riesgos.</w:t>
      </w:r>
    </w:p>
    <w:p w14:paraId="6C1E949C" w14:textId="77777777" w:rsidR="00A84D75" w:rsidRPr="00A84D75" w:rsidRDefault="00A84D75" w:rsidP="00A84D75">
      <w:pPr>
        <w:pStyle w:val="Prrafodelista"/>
        <w:spacing w:line="360" w:lineRule="auto"/>
        <w:jc w:val="both"/>
        <w:rPr>
          <w:rFonts w:ascii="Arial" w:hAnsi="Arial" w:cs="Arial"/>
          <w:sz w:val="20"/>
          <w:szCs w:val="20"/>
          <w:u w:val="single"/>
        </w:rPr>
      </w:pPr>
    </w:p>
    <w:p w14:paraId="6C3823F9"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En el informe </w:t>
      </w:r>
      <w:proofErr w:type="spellStart"/>
      <w:r w:rsidRPr="00A84D75">
        <w:rPr>
          <w:rFonts w:ascii="Arial" w:hAnsi="Arial" w:cs="Arial"/>
          <w:sz w:val="20"/>
          <w:szCs w:val="20"/>
          <w:u w:val="single"/>
        </w:rPr>
        <w:t>Economic</w:t>
      </w:r>
      <w:proofErr w:type="spellEnd"/>
      <w:r w:rsidRPr="00A84D75">
        <w:rPr>
          <w:rFonts w:ascii="Arial" w:hAnsi="Arial" w:cs="Arial"/>
          <w:sz w:val="20"/>
          <w:szCs w:val="20"/>
          <w:u w:val="single"/>
        </w:rPr>
        <w:t xml:space="preserve"> Outlook se establece la necesidad de intensificar las reformas, en el contexto de condiciones favorables a corto plazo, así como de asegurar un crecimiento más sólido y más incluyente. Se insta a los países a impulsar la inversión en educación y competencias, como parte de las mejoras en el uso de las políticas fiscales y de gastos para elevar el nivel de vida a lo largo de la distribución de ingresos. </w:t>
      </w:r>
    </w:p>
    <w:p w14:paraId="40C8F8AD" w14:textId="77777777" w:rsidR="00A84D75" w:rsidRPr="00A84D75" w:rsidRDefault="00A84D75" w:rsidP="00A84D75">
      <w:pPr>
        <w:pStyle w:val="Prrafodelista"/>
        <w:spacing w:line="360" w:lineRule="auto"/>
        <w:jc w:val="both"/>
        <w:rPr>
          <w:rFonts w:ascii="Arial" w:hAnsi="Arial" w:cs="Arial"/>
          <w:sz w:val="20"/>
          <w:szCs w:val="20"/>
          <w:u w:val="single"/>
        </w:rPr>
      </w:pPr>
    </w:p>
    <w:p w14:paraId="78F8CA01"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Se recomienda poner en marcha políticas para impulsar la creación de empleos y el dinamismo empresarial en la economía, lo que incluye mejorar la infraestructura digital y física, incrementar la colaboración en </w:t>
      </w:r>
      <w:proofErr w:type="spellStart"/>
      <w:r w:rsidRPr="00A84D75">
        <w:rPr>
          <w:rFonts w:ascii="Arial" w:hAnsi="Arial" w:cs="Arial"/>
          <w:sz w:val="20"/>
          <w:szCs w:val="20"/>
          <w:u w:val="single"/>
        </w:rPr>
        <w:t>inovación</w:t>
      </w:r>
      <w:proofErr w:type="spellEnd"/>
      <w:r w:rsidRPr="00A84D75">
        <w:rPr>
          <w:rFonts w:ascii="Arial" w:hAnsi="Arial" w:cs="Arial"/>
          <w:sz w:val="20"/>
          <w:szCs w:val="20"/>
          <w:u w:val="single"/>
        </w:rPr>
        <w:t xml:space="preserve"> y desarrollo (I+D) entre universidades e industria, reducir los obstáculos para ingresar en los sectores de servicios profesionales y disminuir los trámites burocráticos.</w:t>
      </w:r>
    </w:p>
    <w:p w14:paraId="7B6A7B4D" w14:textId="77777777" w:rsidR="00A84D75" w:rsidRPr="00A84D75" w:rsidRDefault="00A84D75" w:rsidP="00A84D75">
      <w:pPr>
        <w:spacing w:line="360" w:lineRule="auto"/>
        <w:jc w:val="both"/>
        <w:rPr>
          <w:rFonts w:ascii="Arial" w:hAnsi="Arial" w:cs="Arial"/>
          <w:sz w:val="20"/>
          <w:szCs w:val="20"/>
          <w:u w:val="single"/>
        </w:rPr>
      </w:pPr>
    </w:p>
    <w:p w14:paraId="303D9F1A" w14:textId="470D6E0E" w:rsidR="00A84D75" w:rsidRPr="00A84D75" w:rsidRDefault="004D7EAD" w:rsidP="00A84D75">
      <w:pPr>
        <w:spacing w:line="360" w:lineRule="auto"/>
        <w:jc w:val="both"/>
        <w:rPr>
          <w:rFonts w:ascii="Arial" w:hAnsi="Arial" w:cs="Arial"/>
          <w:sz w:val="20"/>
          <w:szCs w:val="20"/>
        </w:rPr>
      </w:pPr>
      <w:hyperlink r:id="rId13" w:history="1">
        <w:r w:rsidR="00A84D75" w:rsidRPr="00A84D75">
          <w:rPr>
            <w:rFonts w:ascii="Arial" w:hAnsi="Arial" w:cs="Arial"/>
            <w:sz w:val="20"/>
            <w:szCs w:val="20"/>
          </w:rPr>
          <w:t>http://finanzaspublicas.hacienda.gob.mx/work/models/Finanzas_Publicas/docs/paquete_economico/precgpe/precgpe_2019.PDF</w:t>
        </w:r>
      </w:hyperlink>
    </w:p>
    <w:p w14:paraId="5DD25CE4" w14:textId="77777777" w:rsidR="00A84D75" w:rsidRPr="00A84D75" w:rsidRDefault="004D7EAD" w:rsidP="00A84D75">
      <w:pPr>
        <w:rPr>
          <w:rFonts w:ascii="Arial" w:hAnsi="Arial" w:cs="Arial"/>
          <w:sz w:val="20"/>
          <w:szCs w:val="20"/>
        </w:rPr>
      </w:pPr>
      <w:hyperlink r:id="rId14" w:history="1">
        <w:r w:rsidR="00A84D75" w:rsidRPr="00A84D75">
          <w:rPr>
            <w:rFonts w:ascii="Arial" w:hAnsi="Arial" w:cs="Arial"/>
            <w:sz w:val="20"/>
            <w:szCs w:val="20"/>
          </w:rPr>
          <w:t>https://www.gob.mx/cms/uploads/attachment/file/339982/V-PerspectivasEconomicas-junio2018.pdf</w:t>
        </w:r>
      </w:hyperlink>
    </w:p>
    <w:p w14:paraId="6A426E31" w14:textId="77777777" w:rsidR="00A84D75" w:rsidRPr="00A84D75" w:rsidRDefault="00A84D75" w:rsidP="00A84D75">
      <w:pPr>
        <w:ind w:left="720"/>
        <w:rPr>
          <w:rFonts w:ascii="Arial" w:hAnsi="Arial" w:cs="Arial"/>
          <w:sz w:val="20"/>
          <w:szCs w:val="20"/>
          <w:u w:val="single"/>
        </w:rPr>
      </w:pPr>
    </w:p>
    <w:p w14:paraId="118A4610"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Más sin embargo el Organismo Operador en el momento de la elaboración y proyección del presupuesto 2019 está ubicada en números negros y sin pasivos que no puedan solventarse de manera inmediata, por lo que actualmente no se cuenta con Deuda.</w:t>
      </w:r>
    </w:p>
    <w:p w14:paraId="00AE9BBF" w14:textId="77777777" w:rsidR="00A84D75" w:rsidRPr="00A84D75" w:rsidRDefault="00A84D75" w:rsidP="00A84D75">
      <w:pPr>
        <w:spacing w:line="360" w:lineRule="auto"/>
        <w:ind w:left="720"/>
        <w:jc w:val="both"/>
        <w:rPr>
          <w:rFonts w:ascii="Arial" w:hAnsi="Arial" w:cs="Arial"/>
          <w:sz w:val="20"/>
          <w:szCs w:val="20"/>
          <w:u w:val="single"/>
        </w:rPr>
      </w:pPr>
    </w:p>
    <w:p w14:paraId="4599B040"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ha manifestado durante el histórico que los Ingresos han rebasado la expectativa del propio presupuesto de ingresos lo cual se ha manifestado en la Ejecución de la Ampliación de Obras en beneficio de la ciudadanía celayense.</w:t>
      </w:r>
    </w:p>
    <w:p w14:paraId="340B5421" w14:textId="77777777" w:rsidR="00A84D75" w:rsidRPr="00A84D75" w:rsidRDefault="00A84D75" w:rsidP="00A84D75">
      <w:pPr>
        <w:spacing w:line="360" w:lineRule="auto"/>
        <w:ind w:left="720"/>
        <w:jc w:val="both"/>
        <w:rPr>
          <w:rFonts w:ascii="Arial" w:hAnsi="Arial" w:cs="Arial"/>
          <w:sz w:val="20"/>
          <w:szCs w:val="20"/>
          <w:u w:val="single"/>
        </w:rPr>
      </w:pPr>
    </w:p>
    <w:p w14:paraId="31A742DE" w14:textId="77777777" w:rsidR="00A84D75" w:rsidRPr="00A84D75" w:rsidRDefault="00A84D75" w:rsidP="00A84D75">
      <w:pPr>
        <w:autoSpaceDE w:val="0"/>
        <w:autoSpaceDN w:val="0"/>
        <w:adjustRightInd w:val="0"/>
        <w:spacing w:line="360" w:lineRule="auto"/>
        <w:jc w:val="both"/>
        <w:rPr>
          <w:rFonts w:ascii="Arial" w:hAnsi="Arial" w:cs="Arial"/>
          <w:sz w:val="20"/>
          <w:szCs w:val="20"/>
          <w:u w:val="single"/>
        </w:rPr>
      </w:pPr>
      <w:r w:rsidRPr="00A84D75">
        <w:rPr>
          <w:rFonts w:ascii="Arial" w:hAnsi="Arial" w:cs="Arial"/>
          <w:sz w:val="20"/>
          <w:szCs w:val="20"/>
          <w:u w:val="single"/>
        </w:rPr>
        <w:t xml:space="preserve">La presente Proyección de Presupuesto de Egresos establece contribuciones ajustadas a la realidad económica del País con incrementos de un 5 % en la mayoría de los rubros Gastos considerando el índice </w:t>
      </w:r>
      <w:r w:rsidRPr="00A84D75">
        <w:rPr>
          <w:rFonts w:ascii="Arial" w:hAnsi="Arial" w:cs="Arial"/>
          <w:sz w:val="20"/>
          <w:szCs w:val="20"/>
          <w:u w:val="single"/>
        </w:rPr>
        <w:lastRenderedPageBreak/>
        <w:t xml:space="preserve">inflacionario, así como en el Rubro de Servicios Personales se consideró incremento general del 4% a sueldo, algunas nivelaciones. </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20CB565" w14:textId="77777777" w:rsidR="001F1242" w:rsidRDefault="001F1242" w:rsidP="001F1242">
      <w:pPr>
        <w:rPr>
          <w:rFonts w:ascii="Arial" w:hAnsi="Arial" w:cs="Arial"/>
          <w:sz w:val="20"/>
          <w:szCs w:val="20"/>
          <w:u w:val="single"/>
        </w:rPr>
      </w:pPr>
    </w:p>
    <w:p w14:paraId="0FDFA6BF" w14:textId="77777777" w:rsidR="001F1242" w:rsidRPr="00E61462" w:rsidRDefault="001F1242" w:rsidP="001F1242">
      <w:pPr>
        <w:rPr>
          <w:rFonts w:ascii="Arial" w:hAnsi="Arial" w:cs="Arial"/>
          <w:sz w:val="20"/>
          <w:szCs w:val="20"/>
          <w:u w:val="single"/>
        </w:rPr>
      </w:pPr>
      <w:r>
        <w:rPr>
          <w:rFonts w:ascii="Arial" w:hAnsi="Arial" w:cs="Arial"/>
          <w:sz w:val="20"/>
          <w:szCs w:val="20"/>
          <w:u w:val="single"/>
        </w:rPr>
        <w:t>06 de Enero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0F10239" w14:textId="77777777" w:rsidR="00436C88" w:rsidRPr="00E74967" w:rsidRDefault="00436C88" w:rsidP="00CB41C4">
      <w:pPr>
        <w:tabs>
          <w:tab w:val="left" w:leader="underscore" w:pos="9639"/>
        </w:tabs>
        <w:spacing w:after="0" w:line="240" w:lineRule="auto"/>
        <w:jc w:val="both"/>
        <w:rPr>
          <w:rFonts w:cs="Calibri"/>
        </w:rPr>
      </w:pPr>
    </w:p>
    <w:tbl>
      <w:tblPr>
        <w:tblW w:w="9944"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348"/>
        <w:gridCol w:w="69"/>
        <w:gridCol w:w="1279"/>
        <w:gridCol w:w="139"/>
        <w:gridCol w:w="1209"/>
        <w:gridCol w:w="208"/>
        <w:gridCol w:w="1418"/>
        <w:gridCol w:w="1458"/>
        <w:gridCol w:w="1468"/>
      </w:tblGrid>
      <w:tr w:rsidR="00436C88" w:rsidRPr="00E056CB" w14:paraId="2748BE86" w14:textId="77777777" w:rsidTr="00436C88">
        <w:trPr>
          <w:trHeight w:val="64"/>
        </w:trPr>
        <w:tc>
          <w:tcPr>
            <w:tcW w:w="1348" w:type="dxa"/>
          </w:tcPr>
          <w:p w14:paraId="2085C8DE"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bookmarkStart w:id="4" w:name="_Toc508279624"/>
            <w:r w:rsidRPr="00E056CB">
              <w:rPr>
                <w:rFonts w:ascii="Arial" w:hAnsi="Arial" w:cs="Arial"/>
                <w:b/>
                <w:sz w:val="16"/>
                <w:szCs w:val="10"/>
              </w:rPr>
              <w:t>1988-1991</w:t>
            </w:r>
          </w:p>
        </w:tc>
        <w:tc>
          <w:tcPr>
            <w:tcW w:w="1417" w:type="dxa"/>
            <w:gridSpan w:val="2"/>
          </w:tcPr>
          <w:p w14:paraId="4777A96A"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1992-2002</w:t>
            </w:r>
          </w:p>
        </w:tc>
        <w:tc>
          <w:tcPr>
            <w:tcW w:w="1418" w:type="dxa"/>
            <w:gridSpan w:val="2"/>
          </w:tcPr>
          <w:p w14:paraId="54AB2D42"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2003</w:t>
            </w:r>
          </w:p>
        </w:tc>
        <w:tc>
          <w:tcPr>
            <w:tcW w:w="1417" w:type="dxa"/>
            <w:gridSpan w:val="2"/>
          </w:tcPr>
          <w:p w14:paraId="45F4307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2004</w:t>
            </w:r>
          </w:p>
        </w:tc>
        <w:tc>
          <w:tcPr>
            <w:tcW w:w="1418" w:type="dxa"/>
          </w:tcPr>
          <w:p w14:paraId="43F3355E"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2005</w:t>
            </w:r>
          </w:p>
        </w:tc>
        <w:tc>
          <w:tcPr>
            <w:tcW w:w="1458" w:type="dxa"/>
          </w:tcPr>
          <w:p w14:paraId="64533A94"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2006</w:t>
            </w:r>
          </w:p>
        </w:tc>
        <w:tc>
          <w:tcPr>
            <w:tcW w:w="1468" w:type="dxa"/>
          </w:tcPr>
          <w:p w14:paraId="67FB1B07"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r w:rsidRPr="00E056CB">
              <w:rPr>
                <w:rFonts w:ascii="Arial" w:hAnsi="Arial" w:cs="Arial"/>
                <w:b/>
                <w:sz w:val="16"/>
                <w:szCs w:val="10"/>
              </w:rPr>
              <w:t>2007</w:t>
            </w:r>
          </w:p>
        </w:tc>
      </w:tr>
      <w:tr w:rsidR="00436C88" w:rsidRPr="00E056CB" w14:paraId="254CB1EF" w14:textId="77777777" w:rsidTr="00436C88">
        <w:trPr>
          <w:trHeight w:val="259"/>
        </w:trPr>
        <w:tc>
          <w:tcPr>
            <w:tcW w:w="1348" w:type="dxa"/>
          </w:tcPr>
          <w:p w14:paraId="2CC1F27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780C7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 VOCAL EJECUTIVO</w:t>
            </w:r>
          </w:p>
          <w:p w14:paraId="12718F4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 DIRECTORES</w:t>
            </w:r>
          </w:p>
          <w:p w14:paraId="299174B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8 DEPARTAMENTOS </w:t>
            </w:r>
          </w:p>
        </w:tc>
        <w:tc>
          <w:tcPr>
            <w:tcW w:w="1417" w:type="dxa"/>
            <w:gridSpan w:val="2"/>
          </w:tcPr>
          <w:p w14:paraId="4C37BB5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119F1A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4 DIRECTORES </w:t>
            </w:r>
          </w:p>
          <w:p w14:paraId="2B58B51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23 DEPARTAMENTOS </w:t>
            </w:r>
          </w:p>
          <w:p w14:paraId="05270A65" w14:textId="77777777" w:rsidR="00436C88" w:rsidRPr="00E056CB" w:rsidRDefault="00436C88" w:rsidP="00436C88">
            <w:pPr>
              <w:widowControl w:val="0"/>
              <w:autoSpaceDE w:val="0"/>
              <w:autoSpaceDN w:val="0"/>
              <w:adjustRightInd w:val="0"/>
              <w:ind w:left="720"/>
              <w:contextualSpacing/>
              <w:rPr>
                <w:rFonts w:ascii="Arial" w:hAnsi="Arial" w:cs="Arial"/>
                <w:sz w:val="10"/>
                <w:szCs w:val="10"/>
              </w:rPr>
            </w:pPr>
          </w:p>
        </w:tc>
        <w:tc>
          <w:tcPr>
            <w:tcW w:w="1418" w:type="dxa"/>
            <w:gridSpan w:val="2"/>
          </w:tcPr>
          <w:p w14:paraId="45C6878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C4A20C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4 DIRECTORES</w:t>
            </w:r>
          </w:p>
          <w:p w14:paraId="72D8713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8 GERENCIAS</w:t>
            </w:r>
          </w:p>
          <w:p w14:paraId="747C662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30 DEPARTAMENTOS </w:t>
            </w:r>
          </w:p>
        </w:tc>
        <w:tc>
          <w:tcPr>
            <w:tcW w:w="1417" w:type="dxa"/>
            <w:gridSpan w:val="2"/>
          </w:tcPr>
          <w:p w14:paraId="6367ED4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506105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74AE7E4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652F300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c>
          <w:tcPr>
            <w:tcW w:w="1418" w:type="dxa"/>
          </w:tcPr>
          <w:p w14:paraId="5E5151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70AFC19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1A2728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7010998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58" w:type="dxa"/>
          </w:tcPr>
          <w:p w14:paraId="47DFC7B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EFE478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C0B8D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5251268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32 DEPARTAMENTOS</w:t>
            </w:r>
          </w:p>
        </w:tc>
        <w:tc>
          <w:tcPr>
            <w:tcW w:w="1468" w:type="dxa"/>
          </w:tcPr>
          <w:p w14:paraId="0E3ECF1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A9AC5D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3EA3F2C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32A5FFA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r>
      <w:tr w:rsidR="00436C88" w:rsidRPr="00E056CB" w14:paraId="11F770BC" w14:textId="77777777" w:rsidTr="00436C88">
        <w:trPr>
          <w:trHeight w:val="59"/>
        </w:trPr>
        <w:tc>
          <w:tcPr>
            <w:tcW w:w="1348" w:type="dxa"/>
          </w:tcPr>
          <w:p w14:paraId="0A52EDA0" w14:textId="77777777" w:rsidR="00436C88" w:rsidRPr="00E056CB" w:rsidRDefault="00436C88" w:rsidP="00436C88">
            <w:pPr>
              <w:widowControl w:val="0"/>
              <w:autoSpaceDE w:val="0"/>
              <w:autoSpaceDN w:val="0"/>
              <w:adjustRightInd w:val="0"/>
              <w:ind w:left="720"/>
              <w:contextualSpacing/>
              <w:rPr>
                <w:rFonts w:ascii="Arial" w:hAnsi="Arial" w:cs="Arial"/>
                <w:b/>
                <w:sz w:val="16"/>
                <w:szCs w:val="10"/>
              </w:rPr>
            </w:pPr>
            <w:r>
              <w:rPr>
                <w:rFonts w:ascii="Arial" w:hAnsi="Arial" w:cs="Arial"/>
                <w:b/>
                <w:sz w:val="16"/>
                <w:szCs w:val="10"/>
              </w:rPr>
              <w:t>2008</w:t>
            </w:r>
          </w:p>
        </w:tc>
        <w:tc>
          <w:tcPr>
            <w:tcW w:w="1417" w:type="dxa"/>
            <w:gridSpan w:val="2"/>
          </w:tcPr>
          <w:p w14:paraId="2A72D7C3"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2009</w:t>
            </w:r>
          </w:p>
        </w:tc>
        <w:tc>
          <w:tcPr>
            <w:tcW w:w="1418" w:type="dxa"/>
            <w:gridSpan w:val="2"/>
          </w:tcPr>
          <w:p w14:paraId="12CC160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2010</w:t>
            </w:r>
          </w:p>
        </w:tc>
        <w:tc>
          <w:tcPr>
            <w:tcW w:w="1417" w:type="dxa"/>
            <w:gridSpan w:val="2"/>
          </w:tcPr>
          <w:p w14:paraId="3A74E6C0"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2011</w:t>
            </w:r>
          </w:p>
        </w:tc>
        <w:tc>
          <w:tcPr>
            <w:tcW w:w="1418" w:type="dxa"/>
          </w:tcPr>
          <w:p w14:paraId="31C52B0B"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2012</w:t>
            </w:r>
          </w:p>
        </w:tc>
        <w:tc>
          <w:tcPr>
            <w:tcW w:w="1458" w:type="dxa"/>
          </w:tcPr>
          <w:p w14:paraId="74110FEC"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3</w:t>
            </w:r>
          </w:p>
        </w:tc>
        <w:tc>
          <w:tcPr>
            <w:tcW w:w="1468" w:type="dxa"/>
          </w:tcPr>
          <w:p w14:paraId="4D9CC326"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4 – 2015</w:t>
            </w:r>
          </w:p>
        </w:tc>
      </w:tr>
      <w:tr w:rsidR="00436C88" w:rsidRPr="00E056CB" w14:paraId="1375B6D6" w14:textId="77777777" w:rsidTr="00436C88">
        <w:trPr>
          <w:trHeight w:val="103"/>
        </w:trPr>
        <w:tc>
          <w:tcPr>
            <w:tcW w:w="1348" w:type="dxa"/>
          </w:tcPr>
          <w:p w14:paraId="5CAC8D4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2B594D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6B1CF6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513A63C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17" w:type="dxa"/>
            <w:gridSpan w:val="2"/>
          </w:tcPr>
          <w:p w14:paraId="4812963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C1AB74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7F5975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23BD186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8" w:type="dxa"/>
            <w:gridSpan w:val="2"/>
          </w:tcPr>
          <w:p w14:paraId="285D77F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4D0FF9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00E97C0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1846DE6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7" w:type="dxa"/>
            <w:gridSpan w:val="2"/>
          </w:tcPr>
          <w:p w14:paraId="71CFA79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465CD60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28AE8E9"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561618D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18" w:type="dxa"/>
          </w:tcPr>
          <w:p w14:paraId="28C40D6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442263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8C00B7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7A8533D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58" w:type="dxa"/>
          </w:tcPr>
          <w:p w14:paraId="6321B35D"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EEAD9EB"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8</w:t>
            </w:r>
            <w:r w:rsidRPr="00494586">
              <w:rPr>
                <w:rFonts w:ascii="Arial" w:hAnsi="Arial" w:cs="Arial"/>
                <w:color w:val="000000"/>
                <w:sz w:val="10"/>
                <w:szCs w:val="10"/>
              </w:rPr>
              <w:t xml:space="preserve">  DIRECTORES</w:t>
            </w:r>
          </w:p>
          <w:p w14:paraId="32B6CBC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11 GERENCIAS</w:t>
            </w:r>
          </w:p>
          <w:p w14:paraId="29B3C4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494586">
              <w:rPr>
                <w:rFonts w:ascii="Arial" w:hAnsi="Arial" w:cs="Arial"/>
                <w:color w:val="000000"/>
                <w:sz w:val="10"/>
                <w:szCs w:val="10"/>
              </w:rPr>
              <w:t>22 DEPARTAMENTOS</w:t>
            </w:r>
          </w:p>
        </w:tc>
        <w:tc>
          <w:tcPr>
            <w:tcW w:w="1468" w:type="dxa"/>
          </w:tcPr>
          <w:p w14:paraId="709727DE"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71E1531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8 </w:t>
            </w:r>
            <w:r w:rsidRPr="00494586">
              <w:rPr>
                <w:rFonts w:ascii="Arial" w:hAnsi="Arial" w:cs="Arial"/>
                <w:color w:val="000000"/>
                <w:sz w:val="10"/>
                <w:szCs w:val="10"/>
              </w:rPr>
              <w:t xml:space="preserve"> DIRECTORES</w:t>
            </w:r>
          </w:p>
          <w:p w14:paraId="6C3D019A"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1</w:t>
            </w:r>
            <w:r w:rsidRPr="00494586">
              <w:rPr>
                <w:rFonts w:ascii="Arial" w:hAnsi="Arial" w:cs="Arial"/>
                <w:color w:val="000000"/>
                <w:sz w:val="10"/>
                <w:szCs w:val="10"/>
              </w:rPr>
              <w:t xml:space="preserve"> GERENCIAS</w:t>
            </w:r>
          </w:p>
          <w:p w14:paraId="7B735AF7" w14:textId="77777777" w:rsidR="00436C88" w:rsidRPr="00E056CB" w:rsidRDefault="00436C88"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23</w:t>
            </w:r>
            <w:r w:rsidRPr="00494586">
              <w:rPr>
                <w:rFonts w:ascii="Arial" w:hAnsi="Arial" w:cs="Arial"/>
                <w:color w:val="000000"/>
                <w:sz w:val="10"/>
                <w:szCs w:val="10"/>
              </w:rPr>
              <w:t xml:space="preserve"> DEPARTAMENTOS</w:t>
            </w:r>
          </w:p>
        </w:tc>
      </w:tr>
      <w:tr w:rsidR="00A84D75" w:rsidRPr="00E056CB" w14:paraId="6B73AD97" w14:textId="70F78189" w:rsidTr="00C043A8">
        <w:trPr>
          <w:gridAfter w:val="4"/>
          <w:wAfter w:w="4552" w:type="dxa"/>
          <w:trHeight w:val="59"/>
        </w:trPr>
        <w:tc>
          <w:tcPr>
            <w:tcW w:w="1348" w:type="dxa"/>
          </w:tcPr>
          <w:p w14:paraId="25F3E205" w14:textId="77777777" w:rsidR="00A84D75" w:rsidRPr="00E056CB" w:rsidRDefault="00A84D75"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2016</w:t>
            </w:r>
          </w:p>
        </w:tc>
        <w:tc>
          <w:tcPr>
            <w:tcW w:w="1348" w:type="dxa"/>
          </w:tcPr>
          <w:p w14:paraId="1832AF16" w14:textId="77777777" w:rsidR="00A84D75" w:rsidRPr="00E056CB" w:rsidRDefault="00A84D75"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2017</w:t>
            </w:r>
          </w:p>
        </w:tc>
        <w:tc>
          <w:tcPr>
            <w:tcW w:w="1348" w:type="dxa"/>
            <w:gridSpan w:val="2"/>
          </w:tcPr>
          <w:p w14:paraId="321F72B3" w14:textId="79631D17" w:rsidR="00A84D75" w:rsidRPr="00E056CB" w:rsidRDefault="00A84D75" w:rsidP="00436C88">
            <w:pPr>
              <w:spacing w:after="0" w:line="240" w:lineRule="auto"/>
              <w:jc w:val="right"/>
            </w:pPr>
            <w:r>
              <w:rPr>
                <w:rFonts w:ascii="Arial" w:hAnsi="Arial" w:cs="Arial"/>
                <w:b/>
                <w:sz w:val="16"/>
                <w:szCs w:val="10"/>
              </w:rPr>
              <w:t>2018</w:t>
            </w:r>
          </w:p>
        </w:tc>
        <w:tc>
          <w:tcPr>
            <w:tcW w:w="1348" w:type="dxa"/>
            <w:gridSpan w:val="2"/>
          </w:tcPr>
          <w:p w14:paraId="62314FFD" w14:textId="0FDB6B70" w:rsidR="00A84D75" w:rsidRPr="00E056CB" w:rsidRDefault="00A84D75" w:rsidP="00A84D75">
            <w:pPr>
              <w:spacing w:after="0" w:line="240" w:lineRule="auto"/>
              <w:jc w:val="right"/>
            </w:pPr>
            <w:r>
              <w:rPr>
                <w:rFonts w:ascii="Arial" w:hAnsi="Arial" w:cs="Arial"/>
                <w:b/>
                <w:sz w:val="16"/>
                <w:szCs w:val="10"/>
              </w:rPr>
              <w:t>2019</w:t>
            </w:r>
          </w:p>
        </w:tc>
      </w:tr>
      <w:tr w:rsidR="00A84D75" w:rsidRPr="00E056CB" w14:paraId="567B3D71" w14:textId="7BEEB7DC" w:rsidTr="00C043A8">
        <w:trPr>
          <w:gridAfter w:val="4"/>
          <w:wAfter w:w="4552" w:type="dxa"/>
          <w:trHeight w:val="710"/>
        </w:trPr>
        <w:tc>
          <w:tcPr>
            <w:tcW w:w="1348" w:type="dxa"/>
          </w:tcPr>
          <w:p w14:paraId="4FD76873"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5CEE184"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3CAE415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040DB63F" w14:textId="77777777" w:rsidR="00A84D75" w:rsidRPr="00E056CB" w:rsidRDefault="00A84D75"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tcPr>
          <w:p w14:paraId="1D154A3B"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54CD8DE0"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6CC8BF6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C6414B4" w14:textId="77777777" w:rsidR="00A84D75" w:rsidRPr="00E056CB" w:rsidRDefault="00A84D75"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gridSpan w:val="2"/>
          </w:tcPr>
          <w:p w14:paraId="481871B2"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6CCEA56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4EAC8EA0"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7211DE25" w14:textId="77777777" w:rsidR="00A84D75" w:rsidRDefault="00A84D75">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63AEE873" w14:textId="32842BA7" w:rsidR="00A84D75" w:rsidRPr="00E056CB" w:rsidRDefault="00A84D75">
            <w:pPr>
              <w:spacing w:after="0" w:line="240" w:lineRule="auto"/>
            </w:pPr>
            <w:r>
              <w:rPr>
                <w:rFonts w:ascii="Arial" w:hAnsi="Arial" w:cs="Arial"/>
                <w:color w:val="000000"/>
                <w:sz w:val="10"/>
                <w:szCs w:val="10"/>
              </w:rPr>
              <w:t>1 CONTRALORIA INTERNA</w:t>
            </w:r>
          </w:p>
        </w:tc>
        <w:tc>
          <w:tcPr>
            <w:tcW w:w="1348" w:type="dxa"/>
            <w:gridSpan w:val="2"/>
          </w:tcPr>
          <w:p w14:paraId="6148ADF1"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3C45D4F6"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5E07B61C"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8E23AB8" w14:textId="77777777" w:rsidR="00A84D75" w:rsidRDefault="00A84D75" w:rsidP="00C043A8">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10106D95" w14:textId="49F389EC" w:rsidR="00A84D75" w:rsidRPr="00E056CB" w:rsidRDefault="00A84D75">
            <w:pPr>
              <w:spacing w:after="0" w:line="240" w:lineRule="auto"/>
            </w:pPr>
            <w:r>
              <w:rPr>
                <w:rFonts w:ascii="Arial" w:hAnsi="Arial" w:cs="Arial"/>
                <w:color w:val="000000"/>
                <w:sz w:val="10"/>
                <w:szCs w:val="10"/>
              </w:rPr>
              <w:t>1 CONTRALORIA INTERNA</w:t>
            </w:r>
          </w:p>
        </w:tc>
      </w:tr>
    </w:tbl>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F58942" w14:textId="77777777" w:rsidR="00436C88" w:rsidRDefault="00436C88" w:rsidP="00436C88">
      <w:pPr>
        <w:jc w:val="both"/>
        <w:rPr>
          <w:rFonts w:ascii="Arial" w:eastAsia="Times New Roman" w:hAnsi="Arial" w:cs="Arial"/>
          <w:color w:val="000000"/>
          <w:sz w:val="20"/>
          <w:szCs w:val="20"/>
          <w:u w:val="single"/>
          <w:lang w:eastAsia="es-ES"/>
        </w:rPr>
      </w:pPr>
    </w:p>
    <w:p w14:paraId="00DD7C48" w14:textId="77777777" w:rsidR="00436C88" w:rsidRPr="00A36CC2" w:rsidRDefault="00436C88" w:rsidP="00436C88">
      <w:pPr>
        <w:jc w:val="both"/>
        <w:rPr>
          <w:rFonts w:ascii="Arial" w:hAnsi="Arial" w:cs="Arial"/>
          <w:sz w:val="20"/>
          <w:szCs w:val="20"/>
          <w:u w:val="single"/>
        </w:rPr>
      </w:pPr>
      <w:r w:rsidRPr="00A36CC2">
        <w:rPr>
          <w:rFonts w:ascii="Arial" w:eastAsia="Times New Roman" w:hAnsi="Arial" w:cs="Arial"/>
          <w:color w:val="000000"/>
          <w:sz w:val="20"/>
          <w:szCs w:val="20"/>
          <w:u w:val="single"/>
          <w:lang w:eastAsia="es-ES"/>
        </w:rPr>
        <w:t xml:space="preserve">Administrar y proporcionar los servicios de agua potable, alcantarillado, y tratamiento de aguas residuales, así como la promoción del reúso de dichas aguas, dentro de los límites territoriales que le haya determinado el Ayuntamiento Municipal, </w:t>
      </w:r>
      <w:r w:rsidRPr="00A36CC2">
        <w:rPr>
          <w:rFonts w:ascii="Arial" w:hAnsi="Arial" w:cs="Arial"/>
          <w:color w:val="000000"/>
          <w:sz w:val="20"/>
          <w:szCs w:val="20"/>
          <w:u w:val="single"/>
        </w:rPr>
        <w:t>Planear, estudiar, proyectar, construir, rehabilitar, ampliar, operar, mantener y conservar la infraestructura de agua potable, alcantarillado, tratamiento y reúso de aguas y lodos residuales, promover y ejecutar programas de uso eficiente del agua y difundir una cultura del agua en el Municipio; formular y mantener actualizado el padrón de usuarios de las zonas a su cargo.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F3FB6F7" w14:textId="77777777" w:rsidR="00436C88" w:rsidRDefault="00436C88" w:rsidP="00436C88">
      <w:pPr>
        <w:rPr>
          <w:rFonts w:ascii="Arial" w:hAnsi="Arial" w:cs="Arial"/>
          <w:sz w:val="20"/>
          <w:szCs w:val="20"/>
          <w:u w:val="single"/>
        </w:rPr>
      </w:pPr>
    </w:p>
    <w:p w14:paraId="72B83114" w14:textId="77777777" w:rsidR="00436C88" w:rsidRPr="00E7588A" w:rsidRDefault="00436C88" w:rsidP="00436C88">
      <w:pPr>
        <w:jc w:val="both"/>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AADF4F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A84D75">
        <w:rPr>
          <w:rFonts w:cs="Calibri"/>
        </w:rPr>
        <w:t>9</w:t>
      </w:r>
      <w:r w:rsidRPr="00E74967">
        <w:rPr>
          <w:rFonts w:cs="Calibri"/>
        </w:rPr>
        <w:t>).</w:t>
      </w:r>
    </w:p>
    <w:p w14:paraId="3E840FC0" w14:textId="77777777" w:rsidR="00436C88" w:rsidRDefault="00436C88" w:rsidP="00436C88">
      <w:pPr>
        <w:rPr>
          <w:rFonts w:ascii="Arial" w:hAnsi="Arial" w:cs="Arial"/>
          <w:sz w:val="20"/>
          <w:szCs w:val="20"/>
          <w:u w:val="single"/>
        </w:rPr>
      </w:pPr>
    </w:p>
    <w:p w14:paraId="3D77F879" w14:textId="68B0E53A" w:rsidR="00436C88" w:rsidRDefault="00436C88" w:rsidP="00436C88">
      <w:pPr>
        <w:rPr>
          <w:rFonts w:ascii="Arial" w:hAnsi="Arial" w:cs="Arial"/>
          <w:sz w:val="20"/>
          <w:szCs w:val="20"/>
          <w:u w:val="single"/>
        </w:rPr>
      </w:pPr>
      <w:r w:rsidRPr="00CF5D19">
        <w:rPr>
          <w:rFonts w:ascii="Arial" w:hAnsi="Arial" w:cs="Arial"/>
          <w:sz w:val="20"/>
          <w:szCs w:val="20"/>
          <w:u w:val="single"/>
        </w:rPr>
        <w:t>ENERO A DICIEMBRE 201</w:t>
      </w:r>
      <w:r w:rsidR="00A84D75">
        <w:rPr>
          <w:rFonts w:ascii="Arial" w:hAnsi="Arial" w:cs="Arial"/>
          <w:sz w:val="20"/>
          <w:szCs w:val="20"/>
          <w:u w:val="single"/>
        </w:rPr>
        <w:t>9</w:t>
      </w:r>
      <w:r w:rsidRPr="00CF5D19">
        <w:rPr>
          <w:rFonts w:ascii="Arial" w:hAnsi="Arial" w:cs="Arial"/>
          <w:sz w:val="20"/>
          <w:szCs w:val="20"/>
          <w:u w:val="single"/>
        </w:rPr>
        <w:t>.</w:t>
      </w:r>
      <w:r>
        <w:rPr>
          <w:rFonts w:ascii="Arial" w:hAnsi="Arial" w:cs="Arial"/>
          <w:sz w:val="20"/>
          <w:szCs w:val="20"/>
          <w:u w:val="single"/>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58B45C1" w14:textId="77777777" w:rsidR="00436C88" w:rsidRPr="00E74967" w:rsidRDefault="00436C88" w:rsidP="00CB41C4">
      <w:pPr>
        <w:tabs>
          <w:tab w:val="left" w:leader="underscore" w:pos="9639"/>
        </w:tabs>
        <w:spacing w:after="0" w:line="240" w:lineRule="auto"/>
        <w:jc w:val="both"/>
        <w:rPr>
          <w:rFonts w:cs="Calibri"/>
        </w:rPr>
      </w:pPr>
    </w:p>
    <w:p w14:paraId="67B4FE43" w14:textId="77777777" w:rsidR="00436C88" w:rsidRPr="000D7D75" w:rsidRDefault="00436C88" w:rsidP="00436C88">
      <w:pPr>
        <w:rPr>
          <w:rFonts w:ascii="Arial" w:hAnsi="Arial" w:cs="Arial"/>
          <w:sz w:val="20"/>
          <w:szCs w:val="20"/>
          <w:u w:val="single"/>
        </w:rPr>
      </w:pPr>
      <w:r w:rsidRPr="000D7D75">
        <w:rPr>
          <w:rFonts w:ascii="Arial" w:hAnsi="Arial" w:cs="Arial"/>
          <w:sz w:val="20"/>
          <w:szCs w:val="20"/>
          <w:u w:val="single"/>
        </w:rPr>
        <w:t>Personas Morales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1C6D8C1" w14:textId="77777777" w:rsidR="00436C88" w:rsidRDefault="00436C88" w:rsidP="00436C88">
      <w:pPr>
        <w:jc w:val="both"/>
        <w:rPr>
          <w:rFonts w:ascii="Arial" w:hAnsi="Arial" w:cs="Arial"/>
          <w:sz w:val="20"/>
          <w:szCs w:val="20"/>
          <w:u w:val="single"/>
        </w:rPr>
      </w:pPr>
      <w:r w:rsidRPr="00B55CCE">
        <w:rPr>
          <w:rFonts w:ascii="Arial" w:hAnsi="Arial" w:cs="Arial"/>
          <w:b/>
          <w:sz w:val="20"/>
          <w:szCs w:val="20"/>
          <w:u w:val="single"/>
        </w:rPr>
        <w:t>Pagar:</w:t>
      </w:r>
      <w:r>
        <w:rPr>
          <w:rFonts w:ascii="Arial" w:hAnsi="Arial" w:cs="Arial"/>
          <w:sz w:val="20"/>
          <w:szCs w:val="20"/>
          <w:u w:val="single"/>
        </w:rPr>
        <w:t xml:space="preserve"> Derechos por Extracción de Agua Potable, Derechos por Descarga de Aguas Residuales, 2% sobre </w:t>
      </w:r>
      <w:proofErr w:type="spellStart"/>
      <w:r>
        <w:rPr>
          <w:rFonts w:ascii="Arial" w:hAnsi="Arial" w:cs="Arial"/>
          <w:sz w:val="20"/>
          <w:szCs w:val="20"/>
          <w:u w:val="single"/>
        </w:rPr>
        <w:t>Nominas</w:t>
      </w:r>
      <w:proofErr w:type="spellEnd"/>
      <w:r>
        <w:rPr>
          <w:rFonts w:ascii="Arial" w:hAnsi="Arial" w:cs="Arial"/>
          <w:sz w:val="20"/>
          <w:szCs w:val="20"/>
          <w:u w:val="single"/>
        </w:rPr>
        <w:t xml:space="preserve">, IVA a Cargo </w:t>
      </w:r>
      <w:r w:rsidRPr="00B55CCE">
        <w:rPr>
          <w:rFonts w:ascii="Arial" w:hAnsi="Arial" w:cs="Arial"/>
          <w:b/>
          <w:sz w:val="20"/>
          <w:szCs w:val="20"/>
          <w:u w:val="single"/>
        </w:rPr>
        <w:t>Retener:</w:t>
      </w:r>
      <w:r w:rsidRPr="00B55CCE">
        <w:rPr>
          <w:rFonts w:ascii="Arial" w:hAnsi="Arial" w:cs="Arial"/>
          <w:sz w:val="20"/>
          <w:szCs w:val="20"/>
          <w:u w:val="single"/>
        </w:rPr>
        <w:t xml:space="preserve"> </w:t>
      </w:r>
      <w:r>
        <w:rPr>
          <w:rFonts w:ascii="Arial" w:hAnsi="Arial" w:cs="Arial"/>
          <w:sz w:val="20"/>
          <w:szCs w:val="20"/>
          <w:u w:val="single"/>
        </w:rPr>
        <w:t>I</w:t>
      </w:r>
      <w:r w:rsidRPr="00B55CCE">
        <w:rPr>
          <w:rFonts w:ascii="Arial" w:hAnsi="Arial" w:cs="Arial"/>
          <w:sz w:val="20"/>
          <w:szCs w:val="20"/>
          <w:u w:val="single"/>
        </w:rPr>
        <w:t>mpue</w:t>
      </w:r>
      <w:r>
        <w:rPr>
          <w:rFonts w:ascii="Arial" w:hAnsi="Arial" w:cs="Arial"/>
          <w:sz w:val="20"/>
          <w:szCs w:val="20"/>
          <w:u w:val="single"/>
        </w:rPr>
        <w:t>sto sobre la renta a empleados, Honorarios, A</w:t>
      </w:r>
      <w:r w:rsidRPr="00B55CCE">
        <w:rPr>
          <w:rFonts w:ascii="Arial" w:hAnsi="Arial" w:cs="Arial"/>
          <w:sz w:val="20"/>
          <w:szCs w:val="20"/>
          <w:u w:val="single"/>
        </w:rPr>
        <w:t>rrendamiento</w:t>
      </w:r>
      <w:r>
        <w:rPr>
          <w:rFonts w:ascii="Arial" w:hAnsi="Arial" w:cs="Arial"/>
          <w:sz w:val="20"/>
          <w:szCs w:val="20"/>
          <w:u w:val="single"/>
        </w:rPr>
        <w:t>, I</w:t>
      </w:r>
      <w:r w:rsidRPr="00B55CCE">
        <w:rPr>
          <w:rFonts w:ascii="Arial" w:hAnsi="Arial" w:cs="Arial"/>
          <w:sz w:val="20"/>
          <w:szCs w:val="20"/>
          <w:u w:val="single"/>
        </w:rPr>
        <w:t xml:space="preserve">mpuesto cedular, </w:t>
      </w:r>
      <w:r>
        <w:rPr>
          <w:rFonts w:ascii="Arial" w:hAnsi="Arial" w:cs="Arial"/>
          <w:sz w:val="20"/>
          <w:szCs w:val="20"/>
          <w:u w:val="single"/>
        </w:rPr>
        <w:t xml:space="preserve">ISR Extranjeros. </w:t>
      </w:r>
      <w:r w:rsidRPr="00B55CCE">
        <w:rPr>
          <w:rFonts w:ascii="Arial" w:hAnsi="Arial" w:cs="Arial"/>
          <w:b/>
          <w:sz w:val="20"/>
          <w:szCs w:val="20"/>
          <w:u w:val="single"/>
        </w:rPr>
        <w:t>Se entera</w:t>
      </w:r>
      <w:r>
        <w:rPr>
          <w:rFonts w:ascii="Arial" w:hAnsi="Arial" w:cs="Arial"/>
          <w:sz w:val="20"/>
          <w:szCs w:val="20"/>
          <w:u w:val="single"/>
        </w:rPr>
        <w:t xml:space="preserve"> el IVA a Favor para devoluciones.</w:t>
      </w:r>
    </w:p>
    <w:p w14:paraId="6268EF76" w14:textId="77777777" w:rsidR="007D1E76" w:rsidRPr="003C0BA3" w:rsidRDefault="007D1E76" w:rsidP="00CB41C4">
      <w:pPr>
        <w:tabs>
          <w:tab w:val="left" w:leader="underscore" w:pos="9639"/>
        </w:tabs>
        <w:spacing w:after="0" w:line="240" w:lineRule="auto"/>
        <w:jc w:val="both"/>
        <w:rPr>
          <w:rFonts w:cs="Calibri"/>
        </w:rPr>
      </w:pPr>
    </w:p>
    <w:p w14:paraId="6EB77A6D" w14:textId="77777777" w:rsidR="007D1E76" w:rsidRPr="003C0BA3" w:rsidRDefault="007D1E76" w:rsidP="00CB41C4">
      <w:pPr>
        <w:tabs>
          <w:tab w:val="left" w:leader="underscore" w:pos="9639"/>
        </w:tabs>
        <w:spacing w:after="0" w:line="240" w:lineRule="auto"/>
        <w:jc w:val="both"/>
        <w:rPr>
          <w:rFonts w:cs="Calibri"/>
        </w:rPr>
      </w:pPr>
      <w:r w:rsidRPr="003C0BA3">
        <w:rPr>
          <w:rFonts w:cs="Calibri"/>
          <w:b/>
        </w:rPr>
        <w:t>f)</w:t>
      </w:r>
      <w:r w:rsidRPr="003C0BA3">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3C0BA3">
        <w:rPr>
          <w:rFonts w:cs="Calibri"/>
        </w:rPr>
        <w:t>*Anexar organigrama de la entidad.</w:t>
      </w:r>
    </w:p>
    <w:p w14:paraId="6A8374A1" w14:textId="77777777" w:rsidR="003C0BA3" w:rsidRPr="003C0BA3" w:rsidRDefault="003C0BA3" w:rsidP="00CB41C4">
      <w:pPr>
        <w:tabs>
          <w:tab w:val="left" w:leader="underscore" w:pos="9639"/>
        </w:tabs>
        <w:spacing w:after="0" w:line="240" w:lineRule="auto"/>
        <w:ind w:firstLine="708"/>
        <w:jc w:val="both"/>
        <w:rPr>
          <w:rFonts w:cs="Calibri"/>
        </w:rPr>
      </w:pPr>
    </w:p>
    <w:p w14:paraId="3450C629" w14:textId="3688FBB3" w:rsidR="007D1E76" w:rsidRPr="003C0BA3" w:rsidRDefault="007D1E76" w:rsidP="00CB41C4">
      <w:pPr>
        <w:tabs>
          <w:tab w:val="left" w:leader="underscore" w:pos="9639"/>
        </w:tabs>
        <w:spacing w:after="0" w:line="240" w:lineRule="auto"/>
        <w:jc w:val="both"/>
        <w:rPr>
          <w:rFonts w:cs="Calibri"/>
        </w:rPr>
      </w:pPr>
    </w:p>
    <w:p w14:paraId="402CD14D" w14:textId="2E5280CF" w:rsidR="00CB41C4" w:rsidRDefault="003C0BA3" w:rsidP="003C0BA3">
      <w:pPr>
        <w:tabs>
          <w:tab w:val="left" w:leader="underscore" w:pos="9639"/>
        </w:tabs>
        <w:spacing w:after="0" w:line="240" w:lineRule="auto"/>
        <w:jc w:val="center"/>
        <w:rPr>
          <w:rFonts w:cs="Calibri"/>
        </w:rPr>
      </w:pPr>
      <w:r>
        <w:rPr>
          <w:rFonts w:cs="Calibri"/>
          <w:noProof/>
          <w:lang w:eastAsia="es-MX"/>
        </w:rPr>
        <w:drawing>
          <wp:inline distT="0" distB="0" distL="0" distR="0" wp14:anchorId="650177E7" wp14:editId="768F6CC4">
            <wp:extent cx="5839818" cy="4381485"/>
            <wp:effectExtent l="0" t="0" r="8890" b="635"/>
            <wp:docPr id="5" name="Imagen 5" descr="W:\M FINANZAS\CONTABIL\AÑO 2019\00-CIERRES\03 MARZO\ORGANIGRAMA  DGJ  FEBRERO 2019- PUESTOS\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 FINANZAS\CONTABIL\AÑO 2019\00-CIERRES\03 MARZO\ORGANIGRAMA  DGJ  FEBRERO 2019- PUESTOS\Diapositiv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779" cy="4383707"/>
                    </a:xfrm>
                    <a:prstGeom prst="rect">
                      <a:avLst/>
                    </a:prstGeom>
                    <a:noFill/>
                    <a:ln>
                      <a:noFill/>
                    </a:ln>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99AEA30" w14:textId="77777777" w:rsidR="008A41BD" w:rsidRDefault="008A41BD" w:rsidP="008A41BD">
      <w:pPr>
        <w:pStyle w:val="Textoindependiente"/>
        <w:ind w:left="540" w:hanging="540"/>
        <w:rPr>
          <w:rFonts w:ascii="Calibri" w:eastAsia="Calibri" w:hAnsi="Calibri" w:cs="Calibri"/>
          <w:color w:val="auto"/>
          <w:sz w:val="22"/>
          <w:szCs w:val="22"/>
          <w:lang w:val="es-MX" w:eastAsia="en-US"/>
        </w:rPr>
      </w:pPr>
    </w:p>
    <w:p w14:paraId="6E3EAD87" w14:textId="3F8F63C8" w:rsidR="008A41BD" w:rsidRPr="008A41BD" w:rsidRDefault="008A41BD" w:rsidP="00C043A8">
      <w:pPr>
        <w:pStyle w:val="Textoindependiente"/>
        <w:ind w:left="540"/>
        <w:rPr>
          <w:rFonts w:asciiTheme="minorHAnsi" w:eastAsia="Calibri" w:hAnsiTheme="minorHAnsi" w:cstheme="minorHAnsi"/>
          <w:color w:val="auto"/>
          <w:u w:val="single"/>
          <w:lang w:val="es-MX" w:eastAsia="en-US"/>
        </w:rPr>
      </w:pPr>
      <w:r w:rsidRPr="008A41BD">
        <w:rPr>
          <w:rFonts w:asciiTheme="minorHAnsi" w:eastAsia="Calibri" w:hAnsiTheme="minorHAnsi" w:cstheme="minorHAnsi"/>
          <w:color w:val="auto"/>
          <w:u w:val="single"/>
          <w:lang w:val="es-MX" w:eastAsia="en-US"/>
        </w:rPr>
        <w:t xml:space="preserve">FIDEICOMISO No. 1902, denominado “Fondo de Inversión en </w:t>
      </w:r>
      <w:r w:rsidR="00C043A8">
        <w:rPr>
          <w:rFonts w:asciiTheme="minorHAnsi" w:eastAsia="Calibri" w:hAnsiTheme="minorHAnsi" w:cstheme="minorHAnsi"/>
          <w:color w:val="auto"/>
          <w:u w:val="single"/>
          <w:lang w:val="es-MX" w:eastAsia="en-US"/>
        </w:rPr>
        <w:t xml:space="preserve">Infraestructura”, mismo que fue </w:t>
      </w:r>
      <w:r w:rsidRPr="008A41BD">
        <w:rPr>
          <w:rFonts w:asciiTheme="minorHAnsi" w:eastAsia="Calibri" w:hAnsiTheme="minorHAnsi" w:cstheme="minorHAnsi"/>
          <w:color w:val="auto"/>
          <w:u w:val="single"/>
          <w:lang w:val="es-MX" w:eastAsia="en-US"/>
        </w:rPr>
        <w:t>autorizado</w:t>
      </w:r>
      <w:r>
        <w:rPr>
          <w:rFonts w:asciiTheme="minorHAnsi" w:eastAsia="Calibri" w:hAnsiTheme="minorHAnsi" w:cstheme="minorHAnsi"/>
          <w:color w:val="auto"/>
          <w:u w:val="single"/>
          <w:lang w:val="es-MX" w:eastAsia="en-US"/>
        </w:rPr>
        <w:t xml:space="preserve"> </w:t>
      </w:r>
      <w:r w:rsidRPr="008A41BD">
        <w:rPr>
          <w:rFonts w:asciiTheme="minorHAnsi" w:eastAsia="Calibri" w:hAnsiTheme="minorHAnsi" w:cstheme="minorHAnsi"/>
          <w:color w:val="auto"/>
          <w:u w:val="single"/>
          <w:lang w:val="es-MX" w:eastAsia="en-US"/>
        </w:rPr>
        <w:t xml:space="preserve">por el Comité Técnico de dicho FIDEICOMISO en el Acuerdo CT.-IV-9/DIC/2005-V.12 contenido en el Oficio número SDP/141000/030/2006 de fecha </w:t>
      </w:r>
      <w:smartTag w:uri="urn:schemas-microsoft-com:office:smarttags" w:element="date">
        <w:smartTagPr>
          <w:attr w:name="Year" w:val="2006"/>
          <w:attr w:name="Day" w:val="18"/>
          <w:attr w:name="Month" w:val="1"/>
          <w:attr w:name="ls" w:val="trans"/>
        </w:smartTagPr>
        <w:r w:rsidRPr="008A41BD">
          <w:rPr>
            <w:rFonts w:asciiTheme="minorHAnsi" w:eastAsia="Calibri" w:hAnsiTheme="minorHAnsi" w:cstheme="minorHAnsi"/>
            <w:color w:val="auto"/>
            <w:u w:val="single"/>
            <w:lang w:val="es-MX" w:eastAsia="en-US"/>
          </w:rPr>
          <w:t>18 de enero del 2006</w:t>
        </w:r>
      </w:smartTag>
      <w:r w:rsidRPr="008A41BD">
        <w:rPr>
          <w:rFonts w:asciiTheme="minorHAnsi" w:eastAsia="Calibri" w:hAnsiTheme="minorHAnsi" w:cstheme="minorHAnsi"/>
          <w:color w:val="auto"/>
          <w:u w:val="single"/>
          <w:lang w:val="es-MX" w:eastAsia="en-US"/>
        </w:rPr>
        <w:t>.</w:t>
      </w:r>
    </w:p>
    <w:p w14:paraId="28480F15" w14:textId="77777777" w:rsidR="00B864D4" w:rsidRPr="008A41BD" w:rsidRDefault="00B864D4" w:rsidP="008A41BD">
      <w:pPr>
        <w:tabs>
          <w:tab w:val="left" w:leader="underscore" w:pos="9639"/>
        </w:tabs>
        <w:spacing w:after="0" w:line="240" w:lineRule="auto"/>
        <w:jc w:val="both"/>
        <w:rPr>
          <w:rFonts w:asciiTheme="minorHAnsi" w:hAnsiTheme="minorHAnsi" w:cstheme="minorHAnsi"/>
          <w:sz w:val="24"/>
          <w:szCs w:val="24"/>
          <w:u w:val="single"/>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5DF2B08" w14:textId="77777777" w:rsidR="007359DA" w:rsidRDefault="007359DA" w:rsidP="007359DA">
      <w:pPr>
        <w:rPr>
          <w:rFonts w:ascii="Arial" w:hAnsi="Arial" w:cs="Arial"/>
          <w:sz w:val="20"/>
          <w:szCs w:val="20"/>
          <w:u w:val="single"/>
        </w:rPr>
      </w:pPr>
    </w:p>
    <w:p w14:paraId="1DAF4AFE" w14:textId="77777777" w:rsidR="007359DA" w:rsidRDefault="007359DA" w:rsidP="007359DA">
      <w:pPr>
        <w:rPr>
          <w:rFonts w:ascii="Arial" w:hAnsi="Arial" w:cs="Arial"/>
          <w:sz w:val="20"/>
          <w:szCs w:val="20"/>
          <w:u w:val="single"/>
        </w:rPr>
      </w:pPr>
      <w:r w:rsidRPr="000D7D75">
        <w:rPr>
          <w:rFonts w:ascii="Arial" w:hAnsi="Arial" w:cs="Arial"/>
          <w:sz w:val="20"/>
          <w:szCs w:val="20"/>
          <w:u w:val="single"/>
        </w:rPr>
        <w:t>SI.</w:t>
      </w:r>
    </w:p>
    <w:p w14:paraId="4B06B4A3" w14:textId="77777777" w:rsidR="0056749C" w:rsidRPr="000D7D75" w:rsidRDefault="0056749C" w:rsidP="007359DA">
      <w:pPr>
        <w:rPr>
          <w:rFonts w:ascii="Arial" w:hAnsi="Arial" w:cs="Arial"/>
          <w:sz w:val="20"/>
          <w:szCs w:val="20"/>
          <w:u w:val="single"/>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BCCAB95" w14:textId="77777777" w:rsidR="007359DA" w:rsidRDefault="007359DA" w:rsidP="007359DA">
      <w:pPr>
        <w:rPr>
          <w:rFonts w:ascii="Arial" w:hAnsi="Arial" w:cs="Arial"/>
          <w:sz w:val="20"/>
          <w:szCs w:val="20"/>
          <w:u w:val="single"/>
        </w:rPr>
      </w:pPr>
    </w:p>
    <w:p w14:paraId="0146FFB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El método de valuación de inventarios utilizado en el Organismo es el UEPS, y que refleja un costo de los materiales más conservador en el entorno económico en el que nos desenvolvemos. La información se registra a costo histórico.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1420ED0" w14:textId="77777777" w:rsidR="007359DA" w:rsidRPr="00E74967" w:rsidRDefault="007359DA" w:rsidP="00CB41C4">
      <w:pPr>
        <w:tabs>
          <w:tab w:val="left" w:leader="underscore" w:pos="9639"/>
        </w:tabs>
        <w:spacing w:after="0" w:line="240" w:lineRule="auto"/>
        <w:jc w:val="both"/>
        <w:rPr>
          <w:rFonts w:cs="Calibri"/>
        </w:rPr>
      </w:pPr>
    </w:p>
    <w:p w14:paraId="0222EF4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En la presentación de la información financiera y contable del Organismo se ha cuidado dar cumplimiento a lo establecido en los Postulados de conformidad con lo dispuesto en la Ley General de Contabilidad Gubernamental: Sustancia Económica, Entes Públicos, Existencia Permanente, Revelación Suficiente, Importancia Relativa, Registro e Integración Presupuestaria, Consolidación de la Información Financiera, Devengo Contable, Valuación, Dualidad Económica y Consistencia</w:t>
      </w:r>
      <w:r>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8176F7" w14:textId="11C222EE"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C39C24F" w14:textId="571215B8"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lastRenderedPageBreak/>
        <w:t>“Esta nota no le aplica al ente público”</w:t>
      </w:r>
      <w:r>
        <w:rPr>
          <w:rFonts w:asciiTheme="minorHAnsi" w:hAnsiTheme="minorHAnsi" w:cstheme="minorHAnsi"/>
          <w:sz w:val="24"/>
          <w:szCs w:val="24"/>
          <w:u w:val="single"/>
        </w:rPr>
        <w:t xml:space="preserve"> no somos Entidades que lo estemos implementando por primera vez.</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D9FA111" w14:textId="77777777" w:rsid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4FF300B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86E2EE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D9EDAF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2436716"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D68EA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C1D647B" w14:textId="2F64414C"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B48585B" w14:textId="77777777" w:rsidR="00CB49A2" w:rsidRPr="008F0698" w:rsidRDefault="00CB49A2" w:rsidP="00CB49A2">
      <w:pPr>
        <w:rPr>
          <w:rFonts w:ascii="Arial" w:hAnsi="Arial" w:cs="Arial"/>
          <w:sz w:val="20"/>
          <w:szCs w:val="20"/>
          <w:u w:val="single"/>
        </w:rPr>
      </w:pPr>
      <w:r>
        <w:rPr>
          <w:rFonts w:ascii="Arial" w:hAnsi="Arial" w:cs="Arial"/>
          <w:sz w:val="20"/>
          <w:szCs w:val="20"/>
          <w:u w:val="single"/>
        </w:rPr>
        <w:t xml:space="preserve">Sistema UEPS-Ultimas </w:t>
      </w:r>
      <w:r w:rsidRPr="008F0698">
        <w:rPr>
          <w:rFonts w:ascii="Arial" w:hAnsi="Arial" w:cs="Arial"/>
          <w:sz w:val="20"/>
          <w:szCs w:val="20"/>
          <w:u w:val="single"/>
        </w:rPr>
        <w:t>Entradas primeras salidas.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82BB0CD"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F2A8649" w14:textId="77777777" w:rsidR="007653AB" w:rsidRPr="003C0BA3" w:rsidRDefault="007653AB" w:rsidP="00CB41C4">
      <w:pPr>
        <w:tabs>
          <w:tab w:val="left" w:leader="underscore" w:pos="9639"/>
        </w:tabs>
        <w:spacing w:after="0" w:line="240" w:lineRule="auto"/>
        <w:jc w:val="both"/>
        <w:rPr>
          <w:rFonts w:cs="Calibri"/>
          <w:b/>
        </w:rPr>
      </w:pPr>
    </w:p>
    <w:p w14:paraId="6113C381" w14:textId="77777777" w:rsidR="007D1E76" w:rsidRPr="003C0BA3" w:rsidRDefault="007D1E76" w:rsidP="00CB41C4">
      <w:pPr>
        <w:tabs>
          <w:tab w:val="left" w:leader="underscore" w:pos="9639"/>
        </w:tabs>
        <w:spacing w:after="0" w:line="240" w:lineRule="auto"/>
        <w:jc w:val="both"/>
        <w:rPr>
          <w:rFonts w:cs="Calibri"/>
        </w:rPr>
      </w:pPr>
      <w:r w:rsidRPr="003C0BA3">
        <w:rPr>
          <w:rFonts w:cs="Calibri"/>
          <w:b/>
        </w:rPr>
        <w:t>f)</w:t>
      </w:r>
      <w:r w:rsidRPr="003C0BA3">
        <w:rPr>
          <w:rFonts w:cs="Calibri"/>
        </w:rPr>
        <w:t xml:space="preserve"> Provisiones: objetivo de su creación, monto y plazo:</w:t>
      </w:r>
    </w:p>
    <w:p w14:paraId="1B93BCE3" w14:textId="51DDAB59" w:rsidR="00CB49A2" w:rsidRPr="003C0BA3" w:rsidRDefault="00CB49A2" w:rsidP="00CB49A2">
      <w:pPr>
        <w:rPr>
          <w:rFonts w:ascii="Arial" w:hAnsi="Arial" w:cs="Arial"/>
          <w:sz w:val="20"/>
          <w:szCs w:val="20"/>
          <w:u w:val="single"/>
        </w:rPr>
      </w:pPr>
      <w:r w:rsidRPr="003C0BA3">
        <w:rPr>
          <w:rFonts w:ascii="Arial" w:hAnsi="Arial" w:cs="Arial"/>
          <w:sz w:val="20"/>
          <w:szCs w:val="20"/>
          <w:u w:val="single"/>
        </w:rPr>
        <w:t>Provisiones de Ejercicios Anteriores (Obra por ejecutar $</w:t>
      </w:r>
      <w:r w:rsidR="005D7D5C" w:rsidRPr="005D7D5C">
        <w:rPr>
          <w:rFonts w:ascii="Arial" w:hAnsi="Arial" w:cs="Arial"/>
          <w:sz w:val="20"/>
          <w:szCs w:val="20"/>
          <w:u w:val="single"/>
        </w:rPr>
        <w:t>27</w:t>
      </w:r>
      <w:r w:rsidR="005D7D5C">
        <w:rPr>
          <w:rFonts w:ascii="Arial" w:hAnsi="Arial" w:cs="Arial"/>
          <w:sz w:val="20"/>
          <w:szCs w:val="20"/>
          <w:u w:val="single"/>
        </w:rPr>
        <w:t>,</w:t>
      </w:r>
      <w:r w:rsidR="005D7D5C" w:rsidRPr="005D7D5C">
        <w:rPr>
          <w:rFonts w:ascii="Arial" w:hAnsi="Arial" w:cs="Arial"/>
          <w:sz w:val="20"/>
          <w:szCs w:val="20"/>
          <w:u w:val="single"/>
        </w:rPr>
        <w:t>820</w:t>
      </w:r>
      <w:r w:rsidR="005D7D5C">
        <w:rPr>
          <w:rFonts w:ascii="Arial" w:hAnsi="Arial" w:cs="Arial"/>
          <w:sz w:val="20"/>
          <w:szCs w:val="20"/>
          <w:u w:val="single"/>
        </w:rPr>
        <w:t>,</w:t>
      </w:r>
      <w:r w:rsidR="005D7D5C" w:rsidRPr="005D7D5C">
        <w:rPr>
          <w:rFonts w:ascii="Arial" w:hAnsi="Arial" w:cs="Arial"/>
          <w:sz w:val="20"/>
          <w:szCs w:val="20"/>
          <w:u w:val="single"/>
        </w:rPr>
        <w:t>587.92</w:t>
      </w:r>
      <w:r w:rsidRPr="003C0BA3">
        <w:rPr>
          <w:rFonts w:ascii="Arial" w:hAnsi="Arial" w:cs="Arial"/>
          <w:sz w:val="20"/>
          <w:szCs w:val="2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D6E61E1"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C613419" w14:textId="733BA8EF"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EADD9E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3E8D7D5" w:rsidR="007D1E76" w:rsidRDefault="00663833" w:rsidP="00CB41C4">
      <w:pPr>
        <w:tabs>
          <w:tab w:val="left" w:leader="underscore" w:pos="9639"/>
        </w:tabs>
        <w:spacing w:after="0" w:line="240" w:lineRule="auto"/>
        <w:jc w:val="both"/>
        <w:rPr>
          <w:rFonts w:ascii="Arial" w:hAnsi="Arial" w:cs="Arial"/>
          <w:sz w:val="20"/>
          <w:szCs w:val="20"/>
          <w:u w:val="single"/>
        </w:rPr>
      </w:pPr>
      <w:r w:rsidRPr="008F0698">
        <w:rPr>
          <w:rFonts w:ascii="Arial" w:hAnsi="Arial" w:cs="Arial"/>
          <w:sz w:val="20"/>
          <w:szCs w:val="20"/>
          <w:u w:val="single"/>
        </w:rPr>
        <w:t>Existen movimientos generados por reacomodo de cuentas</w:t>
      </w:r>
      <w:r>
        <w:rPr>
          <w:rFonts w:ascii="Arial" w:hAnsi="Arial" w:cs="Arial"/>
          <w:sz w:val="20"/>
          <w:szCs w:val="20"/>
          <w:u w:val="single"/>
        </w:rPr>
        <w:t>.</w:t>
      </w:r>
    </w:p>
    <w:p w14:paraId="4FE915C0" w14:textId="77777777" w:rsidR="00663833" w:rsidRPr="00E74967" w:rsidRDefault="00663833"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F574CD9" w14:textId="77777777" w:rsidR="00663833" w:rsidRPr="008F0698" w:rsidRDefault="00663833" w:rsidP="00663833">
      <w:pPr>
        <w:rPr>
          <w:rFonts w:ascii="Arial" w:hAnsi="Arial" w:cs="Arial"/>
          <w:sz w:val="20"/>
          <w:szCs w:val="20"/>
          <w:u w:val="single"/>
        </w:rPr>
      </w:pPr>
      <w:r w:rsidRPr="008F0698">
        <w:rPr>
          <w:rFonts w:ascii="Arial" w:hAnsi="Arial" w:cs="Arial"/>
          <w:sz w:val="20"/>
          <w:szCs w:val="20"/>
          <w:u w:val="single"/>
        </w:rPr>
        <w:t xml:space="preserve">Cancelación de servicios no ejecutados,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E8CE1E8"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DC3789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2EC0EC7" w14:textId="19E560F3"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EF5331C"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08FDC85" w14:textId="77777777" w:rsidR="00663833" w:rsidRDefault="00663833"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FB68A5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11B6E8C" w14:textId="3A0BA82B"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8E53AC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87D1B23" w14:textId="77777777"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Mobiliario y equipo de Oficina, Herramientas-10%, Vehículos, camiones, remolques-25%, Equipo de Cómputo – 30%</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0BF1A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B41C1A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4ADCEA6" w14:textId="77777777" w:rsidR="007653AB" w:rsidRDefault="007653AB" w:rsidP="00CB41C4">
      <w:pPr>
        <w:tabs>
          <w:tab w:val="left" w:leader="underscore" w:pos="9639"/>
        </w:tabs>
        <w:spacing w:after="0" w:line="240" w:lineRule="auto"/>
        <w:jc w:val="both"/>
        <w:rPr>
          <w:rFonts w:cs="Calibri"/>
          <w:b/>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E9CA7E2" w14:textId="258E2491"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Los intereses es</w:t>
      </w:r>
      <w:r>
        <w:rPr>
          <w:rFonts w:ascii="Arial" w:hAnsi="Arial" w:cs="Arial"/>
          <w:sz w:val="20"/>
          <w:szCs w:val="20"/>
          <w:u w:val="single"/>
        </w:rPr>
        <w:t>tán estables en un promedio de 6</w:t>
      </w:r>
      <w:r w:rsidRPr="008F0698">
        <w:rPr>
          <w:rFonts w:ascii="Arial" w:hAnsi="Arial" w:cs="Arial"/>
          <w:sz w:val="20"/>
          <w:szCs w:val="20"/>
          <w:u w:val="single"/>
        </w:rPr>
        <w:t>% Anual.</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33770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C25097D"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F0D27E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5D20F94" w14:textId="73E9E543"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3D56C9B" w14:textId="77777777" w:rsidR="002E7EB3" w:rsidRPr="006D67B0" w:rsidRDefault="002E7EB3" w:rsidP="002E7EB3">
      <w:pPr>
        <w:pStyle w:val="Prrafodelista"/>
        <w:ind w:left="0"/>
        <w:jc w:val="both"/>
        <w:rPr>
          <w:rFonts w:ascii="Arial" w:hAnsi="Arial" w:cs="Arial"/>
          <w:sz w:val="20"/>
          <w:szCs w:val="20"/>
          <w:u w:val="single"/>
        </w:rPr>
      </w:pPr>
      <w:r w:rsidRPr="006D67B0">
        <w:rPr>
          <w:rFonts w:ascii="Arial" w:hAnsi="Arial" w:cs="Arial"/>
          <w:sz w:val="20"/>
          <w:szCs w:val="20"/>
          <w:u w:val="single"/>
        </w:rPr>
        <w:t>Lineamientos y Políticas para el uso, mantenimiento y control de los vehículos oficiales, Procedimiento para la recepción, entrega preservación y conservación de materiales en almacén, Procedimiento de infraestructura de oficios, radios y vehículos, Procedimiento de Administración de activos fijos, Procedimiento de inventarios físicos de activo fijo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F53CEE" w:rsidRDefault="007D1E76" w:rsidP="00CB41C4">
      <w:pPr>
        <w:tabs>
          <w:tab w:val="left" w:leader="underscore" w:pos="9639"/>
        </w:tabs>
        <w:spacing w:after="0" w:line="240" w:lineRule="auto"/>
        <w:jc w:val="both"/>
        <w:rPr>
          <w:rFonts w:cs="Calibri"/>
        </w:rPr>
      </w:pPr>
    </w:p>
    <w:p w14:paraId="28597DFB" w14:textId="77777777" w:rsidR="005D7D5C" w:rsidRDefault="007D1E76" w:rsidP="005D7D5C">
      <w:pPr>
        <w:pStyle w:val="Prrafodelista"/>
        <w:numPr>
          <w:ilvl w:val="0"/>
          <w:numId w:val="2"/>
        </w:numPr>
        <w:tabs>
          <w:tab w:val="left" w:leader="underscore" w:pos="9639"/>
        </w:tabs>
        <w:spacing w:after="0" w:line="240" w:lineRule="auto"/>
        <w:jc w:val="both"/>
        <w:rPr>
          <w:rFonts w:cs="Calibri"/>
        </w:rPr>
      </w:pPr>
      <w:r w:rsidRPr="00F53CEE">
        <w:rPr>
          <w:rFonts w:cs="Calibri"/>
        </w:rPr>
        <w:t>Inversiones en valores:</w:t>
      </w:r>
    </w:p>
    <w:p w14:paraId="7B4BA6DA" w14:textId="77777777" w:rsidR="005D7D5C" w:rsidRDefault="005D7D5C" w:rsidP="005D7D5C">
      <w:pPr>
        <w:pStyle w:val="Prrafodelista"/>
        <w:tabs>
          <w:tab w:val="left" w:leader="underscore" w:pos="9639"/>
        </w:tabs>
        <w:spacing w:after="0" w:line="240" w:lineRule="auto"/>
        <w:jc w:val="both"/>
        <w:rPr>
          <w:rFonts w:cs="Calibri"/>
        </w:rPr>
      </w:pPr>
    </w:p>
    <w:p w14:paraId="144F6EFD" w14:textId="62F60CFD" w:rsidR="0083728C" w:rsidRDefault="005D7D5C" w:rsidP="005D7D5C">
      <w:pPr>
        <w:pStyle w:val="Prrafodelista"/>
        <w:tabs>
          <w:tab w:val="left" w:leader="underscore" w:pos="9639"/>
        </w:tabs>
        <w:spacing w:after="0" w:line="240" w:lineRule="auto"/>
        <w:jc w:val="both"/>
        <w:rPr>
          <w:rFonts w:cs="Calibri"/>
        </w:rPr>
      </w:pPr>
      <w:r>
        <w:rPr>
          <w:rFonts w:cs="Calibri"/>
        </w:rPr>
        <w:t xml:space="preserve"> </w:t>
      </w:r>
      <w:r w:rsidRPr="005D7D5C">
        <w:rPr>
          <w:noProof/>
          <w:lang w:eastAsia="es-MX"/>
        </w:rPr>
        <w:drawing>
          <wp:inline distT="0" distB="0" distL="0" distR="0" wp14:anchorId="20A96739" wp14:editId="5E11910A">
            <wp:extent cx="5060315" cy="1268095"/>
            <wp:effectExtent l="0" t="0" r="698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0315" cy="1268095"/>
                    </a:xfrm>
                    <a:prstGeom prst="rect">
                      <a:avLst/>
                    </a:prstGeom>
                    <a:noFill/>
                    <a:ln>
                      <a:noFill/>
                    </a:ln>
                  </pic:spPr>
                </pic:pic>
              </a:graphicData>
            </a:graphic>
          </wp:inline>
        </w:drawing>
      </w:r>
    </w:p>
    <w:p w14:paraId="36A2668D" w14:textId="1FC417B1" w:rsidR="00C66CFA" w:rsidRPr="0083728C" w:rsidRDefault="0083728C" w:rsidP="0083728C">
      <w:pPr>
        <w:tabs>
          <w:tab w:val="left" w:leader="underscore" w:pos="9639"/>
        </w:tabs>
        <w:spacing w:after="0" w:line="240" w:lineRule="auto"/>
        <w:jc w:val="both"/>
        <w:rPr>
          <w:rFonts w:cs="Calibri"/>
        </w:rPr>
      </w:pPr>
      <w:r w:rsidRPr="0083728C">
        <w:rPr>
          <w:rFonts w:cs="Calibri"/>
        </w:rPr>
        <w:t xml:space="preserve"> </w:t>
      </w:r>
    </w:p>
    <w:p w14:paraId="7F294F69" w14:textId="51A15E10" w:rsidR="007D1E76" w:rsidRPr="00C66CFA" w:rsidRDefault="00C66CFA" w:rsidP="00C66CFA">
      <w:pPr>
        <w:tabs>
          <w:tab w:val="left" w:leader="underscore" w:pos="9639"/>
        </w:tabs>
        <w:spacing w:after="0" w:line="240" w:lineRule="auto"/>
        <w:ind w:left="360"/>
        <w:jc w:val="both"/>
        <w:rPr>
          <w:rFonts w:cs="Calibri"/>
        </w:rPr>
      </w:pPr>
      <w:r w:rsidRPr="00C66CFA">
        <w:rPr>
          <w:rFonts w:cs="Calibri"/>
          <w:b/>
        </w:rPr>
        <w:t xml:space="preserve"> </w:t>
      </w:r>
      <w:r w:rsidR="007D1E76" w:rsidRPr="00C66CFA">
        <w:rPr>
          <w:rFonts w:cs="Calibri"/>
          <w:b/>
        </w:rPr>
        <w:t>b)</w:t>
      </w:r>
      <w:r w:rsidR="007D1E76" w:rsidRPr="00C66CFA">
        <w:rPr>
          <w:rFonts w:cs="Calibri"/>
        </w:rPr>
        <w:t xml:space="preserve"> Patrimonio de Organismos descentralizados de Control Presupuestario Indirecto:</w:t>
      </w:r>
    </w:p>
    <w:p w14:paraId="524B0D17"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4421515"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lastRenderedPageBreak/>
        <w:t>“Esta nota no le aplica al ente público”</w:t>
      </w:r>
      <w:r>
        <w:rPr>
          <w:rFonts w:asciiTheme="minorHAnsi" w:hAnsiTheme="minorHAnsi" w:cstheme="minorHAnsi"/>
          <w:sz w:val="24"/>
          <w:szCs w:val="24"/>
          <w:u w:val="single"/>
        </w:rPr>
        <w:t xml:space="preserve"> no realizamos movimientos que los afecten.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2F856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81E3BF4"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AEED08F"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6C404BF" w14:textId="77777777" w:rsidR="002E7EB3" w:rsidRDefault="002E7EB3" w:rsidP="00CB41C4">
      <w:pPr>
        <w:tabs>
          <w:tab w:val="left" w:leader="underscore" w:pos="9639"/>
        </w:tabs>
        <w:spacing w:after="0" w:line="240" w:lineRule="auto"/>
        <w:jc w:val="both"/>
        <w:rPr>
          <w:rFonts w:cs="Calibri"/>
          <w:b/>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8F6E48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1F0D436C" w14:textId="77777777" w:rsidR="00C2637B" w:rsidRPr="00C2637B" w:rsidRDefault="00C2637B" w:rsidP="00C2637B">
      <w:pPr>
        <w:jc w:val="both"/>
        <w:rPr>
          <w:rFonts w:ascii="Arial" w:hAnsi="Arial" w:cs="Arial"/>
          <w:b/>
          <w:bCs/>
          <w:sz w:val="20"/>
          <w:szCs w:val="20"/>
        </w:rPr>
      </w:pPr>
      <w:bookmarkStart w:id="10" w:name="_Toc508279631"/>
      <w:r w:rsidRPr="00C2637B">
        <w:rPr>
          <w:rFonts w:ascii="Arial" w:hAnsi="Arial" w:cs="Arial"/>
          <w:b/>
          <w:bCs/>
          <w:sz w:val="20"/>
          <w:szCs w:val="20"/>
        </w:rPr>
        <w:t xml:space="preserve">10. Reporte de la Recaudación:                       </w:t>
      </w:r>
    </w:p>
    <w:p w14:paraId="5AE04A45" w14:textId="77777777" w:rsidR="00C2637B" w:rsidRPr="00C2637B" w:rsidRDefault="00C2637B" w:rsidP="00C2637B">
      <w:pPr>
        <w:jc w:val="both"/>
        <w:rPr>
          <w:rFonts w:ascii="Arial" w:hAnsi="Arial" w:cs="Arial"/>
          <w:sz w:val="20"/>
          <w:szCs w:val="20"/>
        </w:rPr>
      </w:pPr>
      <w:r w:rsidRPr="00C2637B">
        <w:rPr>
          <w:rFonts w:ascii="Arial" w:hAnsi="Arial" w:cs="Arial"/>
          <w:sz w:val="20"/>
          <w:szCs w:val="20"/>
        </w:rPr>
        <w:t>a) Análisis del comportamiento de la recaudación correspondiente al ente público o cualquier tipo de ingreso, de forma separada los ingresos locales de los federales:</w:t>
      </w:r>
    </w:p>
    <w:p w14:paraId="698E1035" w14:textId="77777777" w:rsidR="00C2637B" w:rsidRPr="00C2637B" w:rsidRDefault="00C2637B" w:rsidP="00C2637B">
      <w:pPr>
        <w:jc w:val="both"/>
        <w:rPr>
          <w:rFonts w:ascii="Arial" w:hAnsi="Arial" w:cs="Arial"/>
          <w:b/>
          <w:bCs/>
          <w:sz w:val="20"/>
          <w:szCs w:val="20"/>
          <w:u w:val="single"/>
        </w:rPr>
      </w:pPr>
      <w:r w:rsidRPr="00C2637B">
        <w:rPr>
          <w:rFonts w:ascii="Arial" w:hAnsi="Arial" w:cs="Arial"/>
          <w:sz w:val="20"/>
          <w:szCs w:val="20"/>
          <w:u w:val="single"/>
        </w:rPr>
        <w:t xml:space="preserve">En el mes de </w:t>
      </w:r>
      <w:r w:rsidRPr="00C2637B">
        <w:rPr>
          <w:rFonts w:ascii="Arial" w:hAnsi="Arial" w:cs="Arial"/>
          <w:b/>
          <w:bCs/>
          <w:sz w:val="20"/>
          <w:szCs w:val="20"/>
          <w:u w:val="single"/>
        </w:rPr>
        <w:t>Junio del 2019</w:t>
      </w:r>
      <w:r w:rsidRPr="00C2637B">
        <w:rPr>
          <w:rFonts w:ascii="Arial" w:hAnsi="Arial" w:cs="Arial"/>
          <w:sz w:val="20"/>
          <w:szCs w:val="20"/>
          <w:u w:val="single"/>
        </w:rPr>
        <w:t xml:space="preserve"> se obtuvo una recaudación acumulada de </w:t>
      </w:r>
      <w:r w:rsidRPr="00C2637B">
        <w:rPr>
          <w:rFonts w:ascii="Arial" w:hAnsi="Arial" w:cs="Arial"/>
          <w:b/>
          <w:bCs/>
          <w:sz w:val="20"/>
          <w:szCs w:val="20"/>
          <w:u w:val="single"/>
        </w:rPr>
        <w:t>$160´310,319.90</w:t>
      </w:r>
      <w:r w:rsidRPr="00C2637B">
        <w:rPr>
          <w:rFonts w:ascii="Arial" w:hAnsi="Arial" w:cs="Arial"/>
          <w:sz w:val="20"/>
          <w:szCs w:val="20"/>
          <w:u w:val="single"/>
        </w:rPr>
        <w:t xml:space="preserve"> (</w:t>
      </w:r>
      <w:r w:rsidRPr="00C2637B">
        <w:rPr>
          <w:rFonts w:ascii="Arial" w:hAnsi="Arial" w:cs="Arial"/>
          <w:b/>
          <w:bCs/>
          <w:sz w:val="20"/>
          <w:szCs w:val="20"/>
          <w:u w:val="single"/>
        </w:rPr>
        <w:t>100.54%</w:t>
      </w:r>
      <w:r w:rsidRPr="00C2637B">
        <w:rPr>
          <w:rFonts w:ascii="Arial" w:hAnsi="Arial" w:cs="Arial"/>
          <w:sz w:val="20"/>
          <w:szCs w:val="20"/>
          <w:u w:val="single"/>
        </w:rPr>
        <w:t xml:space="preserve"> de lo presupuestado) por el cobro de los servicios de agua potable, alcantarillado y saneamiento correspondiente al mes de referencia.</w:t>
      </w:r>
    </w:p>
    <w:p w14:paraId="0A10A49D" w14:textId="77777777" w:rsidR="00C2637B" w:rsidRPr="00C2637B" w:rsidRDefault="00C2637B" w:rsidP="00C2637B">
      <w:pPr>
        <w:jc w:val="both"/>
        <w:rPr>
          <w:rFonts w:ascii="Arial" w:hAnsi="Arial" w:cs="Arial"/>
          <w:sz w:val="20"/>
          <w:szCs w:val="20"/>
        </w:rPr>
      </w:pPr>
      <w:r w:rsidRPr="00C2637B">
        <w:rPr>
          <w:rFonts w:ascii="Arial" w:hAnsi="Arial" w:cs="Arial"/>
          <w:sz w:val="20"/>
          <w:szCs w:val="20"/>
        </w:rPr>
        <w:t>b) Proyección de la recaudación e ingresos en el mediano plazo:</w:t>
      </w:r>
    </w:p>
    <w:p w14:paraId="3B87C8F8" w14:textId="77777777" w:rsidR="00C2637B" w:rsidRDefault="00C2637B" w:rsidP="00C2637B">
      <w:pPr>
        <w:jc w:val="both"/>
        <w:rPr>
          <w:sz w:val="24"/>
          <w:szCs w:val="24"/>
          <w:lang w:val="es-ES"/>
        </w:rPr>
      </w:pPr>
      <w:r w:rsidRPr="00C2637B">
        <w:rPr>
          <w:rFonts w:ascii="Arial" w:hAnsi="Arial" w:cs="Arial"/>
          <w:sz w:val="20"/>
          <w:szCs w:val="20"/>
          <w:u w:val="single"/>
        </w:rPr>
        <w:t xml:space="preserve">Se proyecta recaudar un total de </w:t>
      </w:r>
      <w:r w:rsidRPr="00C2637B">
        <w:rPr>
          <w:rFonts w:ascii="Arial" w:hAnsi="Arial" w:cs="Arial"/>
          <w:b/>
          <w:bCs/>
          <w:sz w:val="20"/>
          <w:szCs w:val="20"/>
          <w:u w:val="single"/>
        </w:rPr>
        <w:t>$479’341,075</w:t>
      </w:r>
      <w:r w:rsidRPr="00C2637B">
        <w:rPr>
          <w:rFonts w:ascii="Arial" w:hAnsi="Arial" w:cs="Arial"/>
          <w:sz w:val="20"/>
          <w:szCs w:val="20"/>
          <w:u w:val="single"/>
        </w:rPr>
        <w:t xml:space="preserve"> en todo el año por el servicio de agua potable y alcantarillado y cobro por los demás servicios que prestamos como son: cobro de derechos, contratos, instalaciones de toma y de descargas y la recuperación de rezago por los adeudos de los servicios de agua potable y alcantarillado. Al cierre de </w:t>
      </w:r>
      <w:r w:rsidRPr="00C2637B">
        <w:rPr>
          <w:rFonts w:ascii="Arial" w:hAnsi="Arial" w:cs="Arial"/>
          <w:b/>
          <w:bCs/>
          <w:sz w:val="20"/>
          <w:szCs w:val="20"/>
          <w:u w:val="single"/>
        </w:rPr>
        <w:t>Junio de 2019</w:t>
      </w:r>
      <w:r w:rsidRPr="00C2637B">
        <w:rPr>
          <w:rFonts w:ascii="Arial" w:hAnsi="Arial" w:cs="Arial"/>
          <w:sz w:val="20"/>
          <w:szCs w:val="20"/>
          <w:u w:val="single"/>
        </w:rPr>
        <w:t>, se</w:t>
      </w:r>
      <w:r>
        <w:rPr>
          <w:rFonts w:ascii="Arial" w:hAnsi="Arial" w:cs="Arial"/>
          <w:sz w:val="20"/>
          <w:szCs w:val="20"/>
          <w:u w:val="single"/>
        </w:rPr>
        <w:t xml:space="preserve"> logró recaudar un total de </w:t>
      </w:r>
      <w:r>
        <w:rPr>
          <w:rFonts w:ascii="Arial" w:hAnsi="Arial" w:cs="Arial"/>
          <w:b/>
          <w:bCs/>
          <w:sz w:val="20"/>
          <w:szCs w:val="20"/>
          <w:u w:val="single"/>
        </w:rPr>
        <w:t>$275´027,150.94</w:t>
      </w:r>
      <w:r>
        <w:rPr>
          <w:rFonts w:ascii="Arial" w:hAnsi="Arial" w:cs="Arial"/>
          <w:sz w:val="20"/>
          <w:szCs w:val="20"/>
          <w:u w:val="single"/>
        </w:rPr>
        <w:t xml:space="preserve">. </w:t>
      </w:r>
      <w:r>
        <w:rPr>
          <w:rFonts w:ascii="Arial" w:hAnsi="Arial" w:cs="Arial"/>
          <w:sz w:val="20"/>
          <w:szCs w:val="20"/>
          <w:u w:val="single"/>
          <w:lang w:val="es-ES"/>
        </w:rPr>
        <w:t xml:space="preserve">Lo anterior representa un </w:t>
      </w:r>
      <w:r>
        <w:rPr>
          <w:rFonts w:ascii="Arial" w:hAnsi="Arial" w:cs="Arial"/>
          <w:b/>
          <w:bCs/>
          <w:sz w:val="20"/>
          <w:szCs w:val="20"/>
          <w:u w:val="single"/>
          <w:lang w:val="es-ES"/>
        </w:rPr>
        <w:t>57.38%</w:t>
      </w:r>
      <w:r>
        <w:rPr>
          <w:rFonts w:ascii="Arial" w:hAnsi="Arial" w:cs="Arial"/>
          <w:sz w:val="20"/>
          <w:szCs w:val="20"/>
          <w:u w:val="single"/>
          <w:lang w:val="es-ES"/>
        </w:rPr>
        <w:t xml:space="preserve"> del total presupuestado.</w:t>
      </w:r>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C8ED635" w:rsidR="007D1E76" w:rsidRPr="0083728C" w:rsidRDefault="002E7EB3" w:rsidP="00CB41C4">
      <w:pPr>
        <w:tabs>
          <w:tab w:val="left" w:leader="underscore" w:pos="9639"/>
        </w:tabs>
        <w:spacing w:after="0" w:line="240" w:lineRule="auto"/>
        <w:jc w:val="both"/>
        <w:rPr>
          <w:rFonts w:cs="Calibri"/>
          <w:u w:val="single"/>
        </w:rPr>
      </w:pPr>
      <w:r w:rsidRPr="0083728C">
        <w:rPr>
          <w:rFonts w:cs="Calibri"/>
          <w:u w:val="single"/>
        </w:rPr>
        <w:t>NO SE CUENTA CON DEUDA PUBLICA</w:t>
      </w:r>
    </w:p>
    <w:p w14:paraId="6536A618" w14:textId="77777777" w:rsidR="002E7EB3" w:rsidRPr="00E74967" w:rsidRDefault="002E7EB3"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E6D20D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EF4F48" w14:textId="1138BB87" w:rsidR="002E7EB3" w:rsidRPr="00E5617B" w:rsidRDefault="002E7EB3" w:rsidP="002E7EB3">
      <w:pPr>
        <w:jc w:val="both"/>
        <w:rPr>
          <w:rFonts w:ascii="Arial" w:hAnsi="Arial" w:cs="Arial"/>
          <w:sz w:val="20"/>
          <w:szCs w:val="20"/>
          <w:u w:val="single"/>
        </w:rPr>
      </w:pPr>
      <w:r w:rsidRPr="008F0698">
        <w:rPr>
          <w:rFonts w:ascii="Arial" w:hAnsi="Arial" w:cs="Arial"/>
          <w:sz w:val="20"/>
          <w:szCs w:val="20"/>
          <w:u w:val="single"/>
        </w:rPr>
        <w:t>Lineamientos de Austeridad, Racionalidad y Disciplina Presupuestal para el Ejercicio 201</w:t>
      </w:r>
      <w:r w:rsidR="0056749C">
        <w:rPr>
          <w:rFonts w:ascii="Arial" w:hAnsi="Arial" w:cs="Arial"/>
          <w:sz w:val="20"/>
          <w:szCs w:val="20"/>
          <w:u w:val="single"/>
        </w:rPr>
        <w:t>9</w:t>
      </w:r>
      <w:r w:rsidRPr="008F0698">
        <w:rPr>
          <w:rFonts w:ascii="Arial" w:hAnsi="Arial" w:cs="Arial"/>
          <w:sz w:val="20"/>
          <w:szCs w:val="20"/>
          <w:u w:val="single"/>
        </w:rPr>
        <w:t xml:space="preserve">, </w:t>
      </w:r>
      <w:r w:rsidRPr="00E5617B">
        <w:rPr>
          <w:rFonts w:ascii="Arial" w:hAnsi="Arial" w:cs="Arial"/>
          <w:sz w:val="20"/>
          <w:szCs w:val="20"/>
          <w:u w:val="single"/>
        </w:rPr>
        <w:t xml:space="preserve">Reglamento Interior de Trabajo, Contrato Colectivo de Trabajo, Lineamientos Generales para el Trato a los empleados de Confianza, Política de Calidad. </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26193CA" w:rsidR="007D1E76" w:rsidRPr="002E7EB3" w:rsidRDefault="002E7EB3" w:rsidP="00CB41C4">
      <w:pPr>
        <w:tabs>
          <w:tab w:val="left" w:leader="underscore" w:pos="9639"/>
        </w:tabs>
        <w:spacing w:after="0" w:line="240" w:lineRule="auto"/>
        <w:jc w:val="both"/>
        <w:rPr>
          <w:rFonts w:cs="Calibri"/>
          <w:u w:val="single"/>
        </w:rPr>
      </w:pPr>
      <w:r w:rsidRPr="002E7EB3">
        <w:rPr>
          <w:rFonts w:cs="Calibri"/>
          <w:u w:val="single"/>
        </w:rPr>
        <w:t xml:space="preserve">Se realizan lo manifestado en el archivo </w:t>
      </w:r>
      <w:r w:rsidR="0056749C">
        <w:rPr>
          <w:rFonts w:ascii="Century Gothic" w:eastAsia="Times New Roman" w:hAnsi="Century Gothic" w:cs="Arial"/>
          <w:color w:val="000000"/>
          <w:sz w:val="20"/>
          <w:szCs w:val="20"/>
          <w:u w:val="single"/>
          <w:lang w:eastAsia="es-MX"/>
        </w:rPr>
        <w:t>0333_IR_19</w:t>
      </w:r>
      <w:r w:rsidRPr="002E7EB3">
        <w:rPr>
          <w:rFonts w:ascii="Century Gothic" w:eastAsia="Times New Roman" w:hAnsi="Century Gothic" w:cs="Arial"/>
          <w:color w:val="000000"/>
          <w:sz w:val="20"/>
          <w:szCs w:val="20"/>
          <w:u w:val="single"/>
          <w:lang w:eastAsia="es-MX"/>
        </w:rPr>
        <w:t>01_MCYA_AWA- Indicadores de Resultados</w:t>
      </w:r>
    </w:p>
    <w:p w14:paraId="795495BA" w14:textId="77777777" w:rsidR="007D1E76" w:rsidRPr="002E7EB3" w:rsidRDefault="007D1E76" w:rsidP="00CB41C4">
      <w:pPr>
        <w:tabs>
          <w:tab w:val="left" w:leader="underscore" w:pos="9639"/>
        </w:tabs>
        <w:spacing w:after="0" w:line="240" w:lineRule="auto"/>
        <w:jc w:val="both"/>
        <w:rPr>
          <w:rFonts w:cs="Calibri"/>
          <w:u w:val="single"/>
        </w:rPr>
      </w:pPr>
    </w:p>
    <w:p w14:paraId="63E2F6C6" w14:textId="77777777" w:rsidR="002E7EB3" w:rsidRPr="00E74967" w:rsidRDefault="002E7EB3"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5FB20B0" w14:textId="77777777" w:rsidR="0083728C" w:rsidRPr="00E74967" w:rsidRDefault="0083728C" w:rsidP="00CB41C4">
      <w:pPr>
        <w:tabs>
          <w:tab w:val="left" w:leader="underscore" w:pos="9639"/>
        </w:tabs>
        <w:spacing w:after="0" w:line="240" w:lineRule="auto"/>
        <w:jc w:val="both"/>
        <w:rPr>
          <w:rFonts w:cs="Calibri"/>
        </w:rPr>
      </w:pPr>
    </w:p>
    <w:p w14:paraId="33A52422" w14:textId="4607D820" w:rsidR="0083728C" w:rsidRPr="007653AB" w:rsidRDefault="0083728C" w:rsidP="0083728C">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15C539A" w:rsidR="007D1E76" w:rsidRDefault="0083728C" w:rsidP="00CB41C4">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7E003FA4" w14:textId="77777777" w:rsidR="0083728C" w:rsidRPr="00E74967" w:rsidRDefault="0083728C"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51C8D668" w14:textId="77777777" w:rsidR="00EA7959" w:rsidRPr="007653AB" w:rsidRDefault="00EA7959" w:rsidP="00EA7959">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BDBFF" w14:textId="77777777" w:rsidR="004D7EAD" w:rsidRDefault="004D7EAD" w:rsidP="00E00323">
      <w:pPr>
        <w:spacing w:after="0" w:line="240" w:lineRule="auto"/>
      </w:pPr>
      <w:r>
        <w:separator/>
      </w:r>
    </w:p>
  </w:endnote>
  <w:endnote w:type="continuationSeparator" w:id="0">
    <w:p w14:paraId="70A614EA" w14:textId="77777777" w:rsidR="004D7EAD" w:rsidRDefault="004D7EA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3C0BA3" w:rsidRDefault="003C0BA3">
        <w:pPr>
          <w:pStyle w:val="Piedepgina"/>
          <w:jc w:val="right"/>
        </w:pPr>
        <w:r>
          <w:fldChar w:fldCharType="begin"/>
        </w:r>
        <w:r>
          <w:instrText>PAGE   \* MERGEFORMAT</w:instrText>
        </w:r>
        <w:r>
          <w:fldChar w:fldCharType="separate"/>
        </w:r>
        <w:r w:rsidR="00C2637B" w:rsidRPr="00C2637B">
          <w:rPr>
            <w:noProof/>
            <w:lang w:val="es-ES"/>
          </w:rPr>
          <w:t>13</w:t>
        </w:r>
        <w:r>
          <w:fldChar w:fldCharType="end"/>
        </w:r>
      </w:p>
    </w:sdtContent>
  </w:sdt>
  <w:p w14:paraId="37983FFD" w14:textId="77777777" w:rsidR="003C0BA3" w:rsidRDefault="003C0B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5DBBE" w14:textId="77777777" w:rsidR="004D7EAD" w:rsidRDefault="004D7EAD" w:rsidP="00E00323">
      <w:pPr>
        <w:spacing w:after="0" w:line="240" w:lineRule="auto"/>
      </w:pPr>
      <w:r>
        <w:separator/>
      </w:r>
    </w:p>
  </w:footnote>
  <w:footnote w:type="continuationSeparator" w:id="0">
    <w:p w14:paraId="781674DC" w14:textId="77777777" w:rsidR="004D7EAD" w:rsidRDefault="004D7EA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584F643E" w:rsidR="003C0BA3" w:rsidRDefault="003C0BA3" w:rsidP="00A4610E">
    <w:pPr>
      <w:pStyle w:val="Encabezado"/>
      <w:spacing w:after="0" w:line="240" w:lineRule="auto"/>
      <w:jc w:val="center"/>
    </w:pPr>
    <w:r>
      <w:t>JUNTA MUNICIPAL DE AGUA POTABLE Y ALCANTARILLADO DE CELAYA, GTO.</w:t>
    </w:r>
  </w:p>
  <w:p w14:paraId="651A4C4F" w14:textId="7299BDDD" w:rsidR="003C0BA3" w:rsidRDefault="003C0BA3" w:rsidP="005D7D5C">
    <w:pPr>
      <w:pStyle w:val="Encabezado"/>
      <w:spacing w:after="0" w:line="240" w:lineRule="auto"/>
      <w:jc w:val="center"/>
    </w:pPr>
    <w:r w:rsidRPr="00A4610E">
      <w:t>CORRESPONDI</w:t>
    </w:r>
    <w:r>
      <w:t>ENTES AL 3</w:t>
    </w:r>
    <w:r w:rsidR="005D7D5C">
      <w:t>0 DE JUNI</w:t>
    </w:r>
    <w:r>
      <w:t>O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01FBE"/>
    <w:multiLevelType w:val="hybridMultilevel"/>
    <w:tmpl w:val="FCB66FDE"/>
    <w:lvl w:ilvl="0" w:tplc="3D1836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1035"/>
    <w:rsid w:val="001973A2"/>
    <w:rsid w:val="001C75F2"/>
    <w:rsid w:val="001D2063"/>
    <w:rsid w:val="001D43E9"/>
    <w:rsid w:val="001F1242"/>
    <w:rsid w:val="002E7EB3"/>
    <w:rsid w:val="003453CA"/>
    <w:rsid w:val="003C0BA3"/>
    <w:rsid w:val="00414873"/>
    <w:rsid w:val="00435A87"/>
    <w:rsid w:val="00436C88"/>
    <w:rsid w:val="004A58C8"/>
    <w:rsid w:val="004D7EAD"/>
    <w:rsid w:val="0054701E"/>
    <w:rsid w:val="0056749C"/>
    <w:rsid w:val="005B664F"/>
    <w:rsid w:val="005D3E43"/>
    <w:rsid w:val="005D7D5C"/>
    <w:rsid w:val="005E231E"/>
    <w:rsid w:val="00657009"/>
    <w:rsid w:val="00663833"/>
    <w:rsid w:val="00681C79"/>
    <w:rsid w:val="006E0A86"/>
    <w:rsid w:val="007359DA"/>
    <w:rsid w:val="007610BC"/>
    <w:rsid w:val="007653AB"/>
    <w:rsid w:val="007714AB"/>
    <w:rsid w:val="007D1E76"/>
    <w:rsid w:val="007D4484"/>
    <w:rsid w:val="007F73F3"/>
    <w:rsid w:val="0083728C"/>
    <w:rsid w:val="0086459F"/>
    <w:rsid w:val="008A41BD"/>
    <w:rsid w:val="008C3BB8"/>
    <w:rsid w:val="008E076C"/>
    <w:rsid w:val="009019D9"/>
    <w:rsid w:val="0092765C"/>
    <w:rsid w:val="00A4610E"/>
    <w:rsid w:val="00A730E0"/>
    <w:rsid w:val="00A84D75"/>
    <w:rsid w:val="00AA41E5"/>
    <w:rsid w:val="00AB722B"/>
    <w:rsid w:val="00AE1F6A"/>
    <w:rsid w:val="00B84C93"/>
    <w:rsid w:val="00B864D4"/>
    <w:rsid w:val="00BE16D0"/>
    <w:rsid w:val="00C043A8"/>
    <w:rsid w:val="00C2637B"/>
    <w:rsid w:val="00C66CFA"/>
    <w:rsid w:val="00C97E1E"/>
    <w:rsid w:val="00CB41C4"/>
    <w:rsid w:val="00CB49A2"/>
    <w:rsid w:val="00CF1316"/>
    <w:rsid w:val="00D13C44"/>
    <w:rsid w:val="00D975B1"/>
    <w:rsid w:val="00DD206B"/>
    <w:rsid w:val="00DE11F9"/>
    <w:rsid w:val="00E00323"/>
    <w:rsid w:val="00E74967"/>
    <w:rsid w:val="00EA37F5"/>
    <w:rsid w:val="00EA7915"/>
    <w:rsid w:val="00EA7959"/>
    <w:rsid w:val="00F46719"/>
    <w:rsid w:val="00F53CEE"/>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547DA28"/>
  <w15:docId w15:val="{922E56EE-535D-49F5-9660-08E7EA40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8A41BD"/>
    <w:pPr>
      <w:autoSpaceDE w:val="0"/>
      <w:autoSpaceDN w:val="0"/>
      <w:adjustRightInd w:val="0"/>
      <w:spacing w:after="0" w:line="240" w:lineRule="auto"/>
      <w:jc w:val="both"/>
    </w:pPr>
    <w:rPr>
      <w:rFonts w:ascii="Helvetica" w:eastAsia="Times New Roman" w:hAnsi="Helvetica" w:cs="Helvetica"/>
      <w:color w:val="000000"/>
      <w:sz w:val="24"/>
      <w:szCs w:val="24"/>
      <w:lang w:val="es-ES" w:eastAsia="es-ES"/>
    </w:rPr>
  </w:style>
  <w:style w:type="character" w:customStyle="1" w:styleId="TextoindependienteCar">
    <w:name w:val="Texto independiente Car"/>
    <w:basedOn w:val="Fuentedeprrafopredeter"/>
    <w:link w:val="Textoindependiente"/>
    <w:rsid w:val="008A41BD"/>
    <w:rPr>
      <w:rFonts w:ascii="Helvetica" w:eastAsia="Times New Roman" w:hAnsi="Helvetica" w:cs="Helvetic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4857">
      <w:bodyDiv w:val="1"/>
      <w:marLeft w:val="0"/>
      <w:marRight w:val="0"/>
      <w:marTop w:val="0"/>
      <w:marBottom w:val="0"/>
      <w:divBdr>
        <w:top w:val="none" w:sz="0" w:space="0" w:color="auto"/>
        <w:left w:val="none" w:sz="0" w:space="0" w:color="auto"/>
        <w:bottom w:val="none" w:sz="0" w:space="0" w:color="auto"/>
        <w:right w:val="none" w:sz="0" w:space="0" w:color="auto"/>
      </w:divBdr>
    </w:div>
    <w:div w:id="326061584">
      <w:bodyDiv w:val="1"/>
      <w:marLeft w:val="0"/>
      <w:marRight w:val="0"/>
      <w:marTop w:val="0"/>
      <w:marBottom w:val="0"/>
      <w:divBdr>
        <w:top w:val="none" w:sz="0" w:space="0" w:color="auto"/>
        <w:left w:val="none" w:sz="0" w:space="0" w:color="auto"/>
        <w:bottom w:val="none" w:sz="0" w:space="0" w:color="auto"/>
        <w:right w:val="none" w:sz="0" w:space="0" w:color="auto"/>
      </w:divBdr>
    </w:div>
    <w:div w:id="417675919">
      <w:bodyDiv w:val="1"/>
      <w:marLeft w:val="0"/>
      <w:marRight w:val="0"/>
      <w:marTop w:val="0"/>
      <w:marBottom w:val="0"/>
      <w:divBdr>
        <w:top w:val="none" w:sz="0" w:space="0" w:color="auto"/>
        <w:left w:val="none" w:sz="0" w:space="0" w:color="auto"/>
        <w:bottom w:val="none" w:sz="0" w:space="0" w:color="auto"/>
        <w:right w:val="none" w:sz="0" w:space="0" w:color="auto"/>
      </w:divBdr>
    </w:div>
    <w:div w:id="491415070">
      <w:bodyDiv w:val="1"/>
      <w:marLeft w:val="0"/>
      <w:marRight w:val="0"/>
      <w:marTop w:val="0"/>
      <w:marBottom w:val="0"/>
      <w:divBdr>
        <w:top w:val="none" w:sz="0" w:space="0" w:color="auto"/>
        <w:left w:val="none" w:sz="0" w:space="0" w:color="auto"/>
        <w:bottom w:val="none" w:sz="0" w:space="0" w:color="auto"/>
        <w:right w:val="none" w:sz="0" w:space="0" w:color="auto"/>
      </w:divBdr>
    </w:div>
    <w:div w:id="548960434">
      <w:bodyDiv w:val="1"/>
      <w:marLeft w:val="0"/>
      <w:marRight w:val="0"/>
      <w:marTop w:val="0"/>
      <w:marBottom w:val="0"/>
      <w:divBdr>
        <w:top w:val="none" w:sz="0" w:space="0" w:color="auto"/>
        <w:left w:val="none" w:sz="0" w:space="0" w:color="auto"/>
        <w:bottom w:val="none" w:sz="0" w:space="0" w:color="auto"/>
        <w:right w:val="none" w:sz="0" w:space="0" w:color="auto"/>
      </w:divBdr>
    </w:div>
    <w:div w:id="720176572">
      <w:bodyDiv w:val="1"/>
      <w:marLeft w:val="0"/>
      <w:marRight w:val="0"/>
      <w:marTop w:val="0"/>
      <w:marBottom w:val="0"/>
      <w:divBdr>
        <w:top w:val="none" w:sz="0" w:space="0" w:color="auto"/>
        <w:left w:val="none" w:sz="0" w:space="0" w:color="auto"/>
        <w:bottom w:val="none" w:sz="0" w:space="0" w:color="auto"/>
        <w:right w:val="none" w:sz="0" w:space="0" w:color="auto"/>
      </w:divBdr>
    </w:div>
    <w:div w:id="974485884">
      <w:bodyDiv w:val="1"/>
      <w:marLeft w:val="0"/>
      <w:marRight w:val="0"/>
      <w:marTop w:val="0"/>
      <w:marBottom w:val="0"/>
      <w:divBdr>
        <w:top w:val="none" w:sz="0" w:space="0" w:color="auto"/>
        <w:left w:val="none" w:sz="0" w:space="0" w:color="auto"/>
        <w:bottom w:val="none" w:sz="0" w:space="0" w:color="auto"/>
        <w:right w:val="none" w:sz="0" w:space="0" w:color="auto"/>
      </w:divBdr>
    </w:div>
    <w:div w:id="1047417059">
      <w:bodyDiv w:val="1"/>
      <w:marLeft w:val="0"/>
      <w:marRight w:val="0"/>
      <w:marTop w:val="0"/>
      <w:marBottom w:val="0"/>
      <w:divBdr>
        <w:top w:val="none" w:sz="0" w:space="0" w:color="auto"/>
        <w:left w:val="none" w:sz="0" w:space="0" w:color="auto"/>
        <w:bottom w:val="none" w:sz="0" w:space="0" w:color="auto"/>
        <w:right w:val="none" w:sz="0" w:space="0" w:color="auto"/>
      </w:divBdr>
    </w:div>
    <w:div w:id="1070424629">
      <w:bodyDiv w:val="1"/>
      <w:marLeft w:val="0"/>
      <w:marRight w:val="0"/>
      <w:marTop w:val="0"/>
      <w:marBottom w:val="0"/>
      <w:divBdr>
        <w:top w:val="none" w:sz="0" w:space="0" w:color="auto"/>
        <w:left w:val="none" w:sz="0" w:space="0" w:color="auto"/>
        <w:bottom w:val="none" w:sz="0" w:space="0" w:color="auto"/>
        <w:right w:val="none" w:sz="0" w:space="0" w:color="auto"/>
      </w:divBdr>
    </w:div>
    <w:div w:id="1403598400">
      <w:bodyDiv w:val="1"/>
      <w:marLeft w:val="0"/>
      <w:marRight w:val="0"/>
      <w:marTop w:val="0"/>
      <w:marBottom w:val="0"/>
      <w:divBdr>
        <w:top w:val="none" w:sz="0" w:space="0" w:color="auto"/>
        <w:left w:val="none" w:sz="0" w:space="0" w:color="auto"/>
        <w:bottom w:val="none" w:sz="0" w:space="0" w:color="auto"/>
        <w:right w:val="none" w:sz="0" w:space="0" w:color="auto"/>
      </w:divBdr>
    </w:div>
    <w:div w:id="1617713042">
      <w:bodyDiv w:val="1"/>
      <w:marLeft w:val="0"/>
      <w:marRight w:val="0"/>
      <w:marTop w:val="0"/>
      <w:marBottom w:val="0"/>
      <w:divBdr>
        <w:top w:val="none" w:sz="0" w:space="0" w:color="auto"/>
        <w:left w:val="none" w:sz="0" w:space="0" w:color="auto"/>
        <w:bottom w:val="none" w:sz="0" w:space="0" w:color="auto"/>
        <w:right w:val="none" w:sz="0" w:space="0" w:color="auto"/>
      </w:divBdr>
    </w:div>
    <w:div w:id="1713530547">
      <w:bodyDiv w:val="1"/>
      <w:marLeft w:val="0"/>
      <w:marRight w:val="0"/>
      <w:marTop w:val="0"/>
      <w:marBottom w:val="0"/>
      <w:divBdr>
        <w:top w:val="none" w:sz="0" w:space="0" w:color="auto"/>
        <w:left w:val="none" w:sz="0" w:space="0" w:color="auto"/>
        <w:bottom w:val="none" w:sz="0" w:space="0" w:color="auto"/>
        <w:right w:val="none" w:sz="0" w:space="0" w:color="auto"/>
      </w:divBdr>
    </w:div>
    <w:div w:id="2012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inanzaspublicas.hacienda.gob.mx/work/models/Finanzas_Publicas/docs/paquete_economico/precgpe/precgpe_2019.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cms/uploads/attachment/file/339982/V-PerspectivasEconomicas-junio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C7DA9E5-A090-4CA0-85A8-F0671234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3904</Words>
  <Characters>21475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25329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2019-07-09T15:54:00Z</dcterms:created>
  <dcterms:modified xsi:type="dcterms:W3CDTF">2019-07-09T15:54:00Z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