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031E" w:rsidRDefault="0012031E" w:rsidP="00E0751D">
      <w:pPr>
        <w:spacing w:after="0" w:line="240" w:lineRule="auto"/>
      </w:pPr>
      <w:bookmarkStart w:id="0" w:name="_GoBack"/>
      <w:bookmarkEnd w:id="0"/>
    </w:p>
    <w:p w:rsidR="0012031E" w:rsidRDefault="0012031E" w:rsidP="00E0751D">
      <w:pPr>
        <w:spacing w:after="0" w:line="240" w:lineRule="auto"/>
      </w:pPr>
    </w:p>
    <w:p w:rsidR="00E0751D" w:rsidRPr="0012031E" w:rsidRDefault="00E0751D" w:rsidP="0012031E">
      <w:pPr>
        <w:spacing w:after="0" w:line="240" w:lineRule="auto"/>
        <w:jc w:val="center"/>
        <w:rPr>
          <w:rStyle w:val="Hipervnculo"/>
          <w:rFonts w:ascii="Calibri" w:eastAsia="Calibri" w:hAnsi="Calibri" w:cs="Calibri"/>
          <w:b/>
          <w:sz w:val="28"/>
          <w:szCs w:val="28"/>
        </w:rPr>
      </w:pP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NOTAS DE DI</w:t>
      </w:r>
      <w:r w:rsidR="00886F7C">
        <w:rPr>
          <w:rStyle w:val="Hipervnculo"/>
          <w:rFonts w:ascii="Calibri" w:eastAsia="Calibri" w:hAnsi="Calibri" w:cs="Calibri"/>
          <w:b/>
          <w:sz w:val="28"/>
          <w:szCs w:val="28"/>
        </w:rPr>
        <w:t>S</w:t>
      </w:r>
      <w:r w:rsidRPr="0012031E">
        <w:rPr>
          <w:rStyle w:val="Hipervnculo"/>
          <w:rFonts w:ascii="Calibri" w:eastAsia="Calibri" w:hAnsi="Calibri" w:cs="Calibri"/>
          <w:b/>
          <w:sz w:val="28"/>
          <w:szCs w:val="28"/>
        </w:rPr>
        <w:t>CIPLINA FINANCIERA</w:t>
      </w:r>
    </w:p>
    <w:p w:rsidR="00E0751D" w:rsidRDefault="00E0751D" w:rsidP="00E0751D">
      <w:pPr>
        <w:spacing w:after="0" w:line="240" w:lineRule="auto"/>
      </w:pPr>
    </w:p>
    <w:p w:rsidR="0012031E" w:rsidRDefault="0012031E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1. Balance Presupuestario de Recursos Disponibles Negativo</w:t>
      </w:r>
    </w:p>
    <w:p w:rsidR="00DC1A48" w:rsidRDefault="00DC1A48" w:rsidP="00E0751D">
      <w:pPr>
        <w:spacing w:after="0" w:line="240" w:lineRule="auto"/>
        <w:rPr>
          <w:noProof/>
          <w:lang w:eastAsia="es-MX"/>
        </w:rPr>
      </w:pPr>
    </w:p>
    <w:p w:rsidR="00DC1A48" w:rsidRDefault="00886F7C" w:rsidP="00E0751D">
      <w:pPr>
        <w:spacing w:after="0" w:line="240" w:lineRule="auto"/>
        <w:rPr>
          <w:noProof/>
          <w:lang w:eastAsia="es-MX"/>
        </w:rPr>
      </w:pPr>
      <w:r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>
        <w:rPr>
          <w:noProof/>
          <w:lang w:eastAsia="es-MX"/>
        </w:rPr>
        <w:t>, toda vez que el presupuesto de egresos del ejercicio que se reporta, presenta un balan</w:t>
      </w:r>
      <w:r w:rsidR="00DC1A48">
        <w:rPr>
          <w:noProof/>
          <w:lang w:eastAsia="es-MX"/>
        </w:rPr>
        <w:t>ce</w:t>
      </w:r>
      <w:r>
        <w:rPr>
          <w:noProof/>
          <w:lang w:eastAsia="es-MX"/>
        </w:rPr>
        <w:t xml:space="preserve"> presupuestario sostenible.</w:t>
      </w:r>
    </w:p>
    <w:p w:rsidR="00497C42" w:rsidRDefault="00497C42" w:rsidP="00E0751D">
      <w:pPr>
        <w:spacing w:after="0" w:line="240" w:lineRule="auto"/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2. Aumento o creación de nuevo Gasto</w:t>
      </w:r>
    </w:p>
    <w:p w:rsidR="003C504D" w:rsidRDefault="003C504D" w:rsidP="00E0751D">
      <w:pPr>
        <w:spacing w:after="0" w:line="240" w:lineRule="auto"/>
        <w:rPr>
          <w:b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377"/>
        <w:gridCol w:w="1558"/>
        <w:gridCol w:w="1173"/>
        <w:gridCol w:w="1276"/>
      </w:tblGrid>
      <w:tr w:rsidR="00210FF6" w:rsidRPr="00210FF6" w:rsidTr="00210FF6">
        <w:trPr>
          <w:trHeight w:val="315"/>
        </w:trPr>
        <w:tc>
          <w:tcPr>
            <w:tcW w:w="537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Concepto </w:t>
            </w:r>
          </w:p>
        </w:tc>
        <w:tc>
          <w:tcPr>
            <w:tcW w:w="4007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203764"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Egresos</w:t>
            </w:r>
          </w:p>
        </w:tc>
      </w:tr>
      <w:tr w:rsidR="00210FF6" w:rsidRPr="00210FF6" w:rsidTr="00210FF6">
        <w:trPr>
          <w:trHeight w:val="315"/>
        </w:trPr>
        <w:tc>
          <w:tcPr>
            <w:tcW w:w="537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>Aprobado (d)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Ampliaciones/ (Reducciones) 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203764"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FFFFFF"/>
                <w:sz w:val="16"/>
                <w:szCs w:val="16"/>
                <w:lang w:eastAsia="es-MX"/>
              </w:rPr>
              <w:t xml:space="preserve">Modificado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I. Gasto No Etiquetado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1,277,799,269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-114,298,450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1,163,500,819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592,663,124.56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44,831,965.27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547,831,159.29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109,734,485.00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37,467,075.01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72,267,409.99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214,237,140.81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6,010,826.40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208,226,314.41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219,041,927.93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2,275,280.02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216,766,647.91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42,910,246.34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3,500,635.05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39,409,611.29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99,212,344.00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23,920,291.51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75,292,052.49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I. Deuda Pública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                 -  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3,707,623.47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3,707,623.47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 xml:space="preserve">II. Gasto Etiquetado 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541,290,780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9,606,158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550,896,938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A. Servicios Personales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127,223,564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    13,269,292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113,954,272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B. Materiales y Suministros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33,150,552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   30,200,845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63,351,396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C. Servicios Generales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53,616,090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    11,272,569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42,343,522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D. Transferencias, Asignaciones, Subsidios y Otras Ayudas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15,266,744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      7,188,087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22,454,831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E. Bienes Muebles, Inmuebles e Intangibles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  8,425,714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    22,245,500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30,671,214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F. Inversión Pública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253,905,001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    24,922,974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228,982,027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600" w:firstLine="960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 xml:space="preserve">I. Deuda Pública </w:t>
            </w:r>
          </w:p>
        </w:tc>
        <w:tc>
          <w:tcPr>
            <w:tcW w:w="155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                          49,703,115 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-                                              563,439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lang w:eastAsia="es-MX"/>
              </w:rPr>
              <w:t xml:space="preserve">           49,139,676 </w:t>
            </w:r>
          </w:p>
        </w:tc>
      </w:tr>
      <w:tr w:rsidR="00210FF6" w:rsidRPr="00210FF6" w:rsidTr="00210FF6">
        <w:trPr>
          <w:trHeight w:val="300"/>
        </w:trPr>
        <w:tc>
          <w:tcPr>
            <w:tcW w:w="537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ind w:firstLineChars="300" w:firstLine="482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III. Total de Egresos (III = I + II)</w:t>
            </w:r>
          </w:p>
        </w:tc>
        <w:tc>
          <w:tcPr>
            <w:tcW w:w="15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1,819,090,049</w:t>
            </w:r>
          </w:p>
        </w:tc>
        <w:tc>
          <w:tcPr>
            <w:tcW w:w="1173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-104,692,292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D9E1F2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b/>
                <w:bCs/>
                <w:color w:val="000000"/>
                <w:sz w:val="16"/>
                <w:szCs w:val="16"/>
                <w:lang w:eastAsia="es-MX"/>
              </w:rPr>
              <w:t>1,714,397,757</w:t>
            </w:r>
          </w:p>
        </w:tc>
      </w:tr>
      <w:tr w:rsidR="00210FF6" w:rsidRPr="00210FF6" w:rsidTr="00210FF6">
        <w:trPr>
          <w:trHeight w:val="315"/>
        </w:trPr>
        <w:tc>
          <w:tcPr>
            <w:tcW w:w="537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5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10FF6" w:rsidRPr="00210FF6" w:rsidRDefault="00210FF6" w:rsidP="00210FF6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</w:pPr>
            <w:r w:rsidRPr="00210FF6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es-MX"/>
              </w:rPr>
              <w:t> </w:t>
            </w:r>
          </w:p>
        </w:tc>
      </w:tr>
    </w:tbl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3C504D" w:rsidRDefault="003C504D" w:rsidP="00E0751D">
      <w:pPr>
        <w:spacing w:after="0" w:line="240" w:lineRule="auto"/>
        <w:rPr>
          <w:b/>
        </w:rPr>
      </w:pPr>
    </w:p>
    <w:p w:rsidR="00DC1A48" w:rsidRDefault="00DC1A48" w:rsidP="00E0751D">
      <w:pPr>
        <w:spacing w:after="0" w:line="240" w:lineRule="auto"/>
        <w:rPr>
          <w:b/>
        </w:rPr>
      </w:pPr>
    </w:p>
    <w:p w:rsidR="00A442A4" w:rsidRDefault="00A442A4" w:rsidP="00E0751D">
      <w:pPr>
        <w:spacing w:after="0" w:line="240" w:lineRule="auto"/>
        <w:rPr>
          <w:b/>
        </w:rPr>
      </w:pPr>
    </w:p>
    <w:p w:rsidR="00A442A4" w:rsidRDefault="00A442A4" w:rsidP="00E0751D">
      <w:pPr>
        <w:spacing w:after="0" w:line="240" w:lineRule="auto"/>
        <w:rPr>
          <w:b/>
        </w:rPr>
      </w:pPr>
    </w:p>
    <w:p w:rsidR="00E0751D" w:rsidRPr="00E0751D" w:rsidRDefault="00E0751D" w:rsidP="00E0751D">
      <w:pPr>
        <w:spacing w:after="0" w:line="240" w:lineRule="auto"/>
        <w:rPr>
          <w:b/>
        </w:rPr>
      </w:pPr>
      <w:r w:rsidRPr="00E0751D">
        <w:rPr>
          <w:b/>
        </w:rPr>
        <w:t>3. Pasivo Circulante al Cierre del Ejercicio</w:t>
      </w:r>
    </w:p>
    <w:p w:rsidR="00253E32" w:rsidRDefault="00253E32" w:rsidP="00E0751D">
      <w:pPr>
        <w:spacing w:after="0" w:line="240" w:lineRule="auto"/>
      </w:pPr>
    </w:p>
    <w:p w:rsidR="00253E32" w:rsidRDefault="00253E32" w:rsidP="00E0751D">
      <w:pPr>
        <w:spacing w:after="0" w:line="240" w:lineRule="auto"/>
        <w:rPr>
          <w:b/>
        </w:rPr>
      </w:pPr>
      <w:r>
        <w:t>R.-</w:t>
      </w:r>
      <w:r w:rsidR="00DC1A48">
        <w:t xml:space="preserve"> </w:t>
      </w:r>
      <w:r w:rsidRPr="00DC1A48">
        <w:rPr>
          <w:b/>
        </w:rPr>
        <w:t>No aplica</w:t>
      </w:r>
    </w:p>
    <w:p w:rsidR="00563BBD" w:rsidRPr="00DC1A48" w:rsidRDefault="00563BBD" w:rsidP="00E0751D">
      <w:pPr>
        <w:spacing w:after="0" w:line="240" w:lineRule="auto"/>
        <w:rPr>
          <w:b/>
        </w:rPr>
      </w:pPr>
    </w:p>
    <w:p w:rsidR="00E0751D" w:rsidRDefault="00563BBD" w:rsidP="00E0751D">
      <w:pPr>
        <w:spacing w:after="0" w:line="240" w:lineRule="auto"/>
        <w:rPr>
          <w:b/>
        </w:rPr>
      </w:pPr>
      <w:r w:rsidRPr="00563BBD">
        <w:rPr>
          <w:b/>
        </w:rPr>
        <w:t>4. Deuda Pública y Obligaciones</w:t>
      </w:r>
    </w:p>
    <w:tbl>
      <w:tblPr>
        <w:tblW w:w="513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813"/>
        <w:gridCol w:w="692"/>
        <w:gridCol w:w="1167"/>
        <w:gridCol w:w="1167"/>
        <w:gridCol w:w="1114"/>
        <w:gridCol w:w="693"/>
        <w:gridCol w:w="1036"/>
        <w:gridCol w:w="1036"/>
        <w:gridCol w:w="1036"/>
        <w:gridCol w:w="1036"/>
      </w:tblGrid>
      <w:tr w:rsidR="007B1AAC" w:rsidRPr="007B1AAC" w:rsidTr="007B1AAC">
        <w:trPr>
          <w:trHeight w:val="375"/>
        </w:trPr>
        <w:tc>
          <w:tcPr>
            <w:tcW w:w="37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Destino del Crédito</w:t>
            </w:r>
          </w:p>
        </w:tc>
        <w:tc>
          <w:tcPr>
            <w:tcW w:w="3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Acreedor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Clase del Título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Contratado</w:t>
            </w:r>
          </w:p>
        </w:tc>
        <w:tc>
          <w:tcPr>
            <w:tcW w:w="53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Financiamiento Dispuesto</w:t>
            </w:r>
          </w:p>
        </w:tc>
        <w:tc>
          <w:tcPr>
            <w:tcW w:w="51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Saldo en Pesos</w:t>
            </w:r>
          </w:p>
        </w:tc>
        <w:tc>
          <w:tcPr>
            <w:tcW w:w="32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 xml:space="preserve">Tasa </w:t>
            </w:r>
            <w:proofErr w:type="gramStart"/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de  Interés</w:t>
            </w:r>
            <w:proofErr w:type="gramEnd"/>
          </w:p>
        </w:tc>
        <w:tc>
          <w:tcPr>
            <w:tcW w:w="47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Amortizado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Acumulado</w:t>
            </w:r>
          </w:p>
        </w:tc>
        <w:tc>
          <w:tcPr>
            <w:tcW w:w="47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Intereses Pagados en el Ejercicio</w:t>
            </w:r>
          </w:p>
        </w:tc>
        <w:tc>
          <w:tcPr>
            <w:tcW w:w="603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Capital Pagado</w:t>
            </w:r>
          </w:p>
        </w:tc>
      </w:tr>
      <w:tr w:rsidR="007B1AAC" w:rsidRPr="007B1AAC" w:rsidTr="007B1AAC">
        <w:trPr>
          <w:trHeight w:val="315"/>
        </w:trPr>
        <w:tc>
          <w:tcPr>
            <w:tcW w:w="37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53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51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21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7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  <w:t>En Pesos</w:t>
            </w: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03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4"/>
                <w:szCs w:val="14"/>
                <w:lang w:eastAsia="es-MX"/>
              </w:rPr>
            </w:pPr>
          </w:p>
        </w:tc>
      </w:tr>
      <w:tr w:rsidR="007B1AAC" w:rsidRPr="007B1AAC" w:rsidTr="007B1AAC">
        <w:trPr>
          <w:trHeight w:val="690"/>
        </w:trPr>
        <w:tc>
          <w:tcPr>
            <w:tcW w:w="37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Inversión Pública Productiva</w:t>
            </w:r>
          </w:p>
        </w:tc>
        <w:tc>
          <w:tcPr>
            <w:tcW w:w="3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BBVA Bancomer, S.A.   Grupo financiero BBVA Bancomer.</w:t>
            </w:r>
          </w:p>
        </w:tc>
        <w:tc>
          <w:tcPr>
            <w:tcW w:w="32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 xml:space="preserve">Contrato de Apertura de Crédito </w:t>
            </w:r>
            <w:proofErr w:type="gramStart"/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Simple  (</w:t>
            </w:r>
            <w:proofErr w:type="gramEnd"/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Pesos)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350,000,000.00</w:t>
            </w:r>
          </w:p>
        </w:tc>
        <w:tc>
          <w:tcPr>
            <w:tcW w:w="535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  <w:t>341,708,521.94</w:t>
            </w:r>
          </w:p>
        </w:tc>
        <w:tc>
          <w:tcPr>
            <w:tcW w:w="511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264,244,519.07</w:t>
            </w:r>
          </w:p>
        </w:tc>
        <w:tc>
          <w:tcPr>
            <w:tcW w:w="32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TIIE 28 D + 0.73 pb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77,464,002.87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70,972,966.02</w:t>
            </w:r>
          </w:p>
        </w:tc>
        <w:tc>
          <w:tcPr>
            <w:tcW w:w="476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25,603,050.60</w:t>
            </w:r>
          </w:p>
        </w:tc>
        <w:tc>
          <w:tcPr>
            <w:tcW w:w="603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27,244,249.35</w:t>
            </w:r>
          </w:p>
        </w:tc>
      </w:tr>
      <w:tr w:rsidR="007B1AAC" w:rsidRPr="007B1AAC" w:rsidTr="007B1AAC">
        <w:trPr>
          <w:trHeight w:val="855"/>
        </w:trPr>
        <w:tc>
          <w:tcPr>
            <w:tcW w:w="37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2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35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Trebuchet MS" w:eastAsia="Times New Roman" w:hAnsi="Trebuchet MS" w:cs="Times New Roman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511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  <w:r w:rsidRPr="007B1AAC"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  <w:t>8.5104%</w:t>
            </w: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476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  <w:tc>
          <w:tcPr>
            <w:tcW w:w="603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7B1AAC" w:rsidRPr="007B1AAC" w:rsidRDefault="007B1AAC" w:rsidP="007B1A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4"/>
                <w:szCs w:val="14"/>
                <w:lang w:eastAsia="es-MX"/>
              </w:rPr>
            </w:pPr>
          </w:p>
        </w:tc>
      </w:tr>
    </w:tbl>
    <w:p w:rsidR="00563BBD" w:rsidRPr="00563BBD" w:rsidRDefault="00563BBD" w:rsidP="00E0751D">
      <w:pPr>
        <w:spacing w:after="0" w:line="240" w:lineRule="auto"/>
        <w:rPr>
          <w:b/>
        </w:rPr>
      </w:pPr>
    </w:p>
    <w:p w:rsidR="00563BBD" w:rsidRDefault="00563BBD" w:rsidP="00E0751D">
      <w:pPr>
        <w:spacing w:after="0" w:line="240" w:lineRule="auto"/>
      </w:pPr>
    </w:p>
    <w:p w:rsidR="00E0751D" w:rsidRDefault="00E0751D" w:rsidP="00E0751D">
      <w:pPr>
        <w:spacing w:after="0" w:line="240" w:lineRule="auto"/>
        <w:jc w:val="both"/>
      </w:pPr>
    </w:p>
    <w:p w:rsidR="003C52E1" w:rsidRDefault="003C52E1" w:rsidP="00E0751D">
      <w:pPr>
        <w:spacing w:after="0" w:line="240" w:lineRule="auto"/>
        <w:jc w:val="both"/>
      </w:pPr>
    </w:p>
    <w:p w:rsidR="00E0751D" w:rsidRPr="0012031E" w:rsidRDefault="00E0751D" w:rsidP="00E0751D">
      <w:pPr>
        <w:spacing w:after="0" w:line="240" w:lineRule="auto"/>
        <w:jc w:val="both"/>
        <w:rPr>
          <w:b/>
        </w:rPr>
      </w:pPr>
      <w:r w:rsidRPr="0012031E">
        <w:rPr>
          <w:b/>
        </w:rPr>
        <w:t>5. Obligaciones a Corto Plazo</w:t>
      </w:r>
    </w:p>
    <w:p w:rsidR="00DC1A48" w:rsidRDefault="00DC1A48" w:rsidP="00E0751D">
      <w:pPr>
        <w:spacing w:after="0" w:line="240" w:lineRule="auto"/>
        <w:jc w:val="both"/>
        <w:rPr>
          <w:b/>
          <w:noProof/>
          <w:lang w:eastAsia="es-MX"/>
        </w:rPr>
      </w:pPr>
    </w:p>
    <w:p w:rsidR="00AF5CAD" w:rsidRPr="00DC1A48" w:rsidRDefault="00253E32" w:rsidP="00E0751D">
      <w:pPr>
        <w:spacing w:after="0" w:line="240" w:lineRule="auto"/>
        <w:jc w:val="both"/>
      </w:pPr>
      <w:r w:rsidRPr="00253E32">
        <w:rPr>
          <w:b/>
          <w:noProof/>
          <w:lang w:eastAsia="es-MX"/>
        </w:rPr>
        <w:t>R.- 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el municipio no ha contraido </w:t>
      </w:r>
      <w:r w:rsidR="00DC1A48">
        <w:rPr>
          <w:noProof/>
          <w:lang w:eastAsia="es-MX"/>
        </w:rPr>
        <w:t xml:space="preserve">Obligaciones </w:t>
      </w:r>
      <w:r w:rsidR="00DC1A48" w:rsidRPr="00DC1A48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>c</w:t>
      </w:r>
      <w:r w:rsidR="00DC1A48" w:rsidRPr="00DC1A48">
        <w:rPr>
          <w:noProof/>
          <w:lang w:eastAsia="es-MX"/>
        </w:rPr>
        <w:t xml:space="preserve">orto plazo, con las caracteristicas establecidas en el Titulo Tercero Capitulo I, de la LDF. </w:t>
      </w:r>
    </w:p>
    <w:p w:rsidR="00AF5CAD" w:rsidRDefault="00AF5CAD" w:rsidP="00E0751D">
      <w:pPr>
        <w:spacing w:after="0" w:line="240" w:lineRule="auto"/>
        <w:jc w:val="both"/>
      </w:pPr>
    </w:p>
    <w:p w:rsidR="003C52E1" w:rsidRDefault="003C52E1" w:rsidP="00E0751D">
      <w:pPr>
        <w:spacing w:after="0" w:line="240" w:lineRule="auto"/>
        <w:jc w:val="both"/>
      </w:pPr>
    </w:p>
    <w:p w:rsidR="00AF5CAD" w:rsidRDefault="00AF5CAD" w:rsidP="00E0751D">
      <w:pPr>
        <w:spacing w:after="0" w:line="240" w:lineRule="auto"/>
        <w:jc w:val="both"/>
      </w:pPr>
    </w:p>
    <w:p w:rsidR="00E0751D" w:rsidRDefault="0012031E" w:rsidP="0012031E">
      <w:pPr>
        <w:spacing w:after="0" w:line="240" w:lineRule="auto"/>
        <w:rPr>
          <w:b/>
        </w:rPr>
      </w:pPr>
      <w:r w:rsidRPr="0012031E">
        <w:rPr>
          <w:b/>
        </w:rPr>
        <w:t>6. Evaluación de Cumplimiento</w:t>
      </w:r>
    </w:p>
    <w:p w:rsidR="00DC1A48" w:rsidRPr="0012031E" w:rsidRDefault="00DC1A48" w:rsidP="0012031E">
      <w:pPr>
        <w:spacing w:after="0" w:line="240" w:lineRule="auto"/>
        <w:rPr>
          <w:b/>
        </w:rPr>
      </w:pPr>
    </w:p>
    <w:p w:rsidR="00AF5CAD" w:rsidRPr="00253E32" w:rsidRDefault="00253E32" w:rsidP="003C52E1">
      <w:pPr>
        <w:spacing w:after="0" w:line="240" w:lineRule="auto"/>
        <w:jc w:val="both"/>
        <w:rPr>
          <w:i/>
        </w:rPr>
      </w:pPr>
      <w:r w:rsidRPr="00253E32">
        <w:rPr>
          <w:noProof/>
          <w:lang w:eastAsia="es-MX"/>
        </w:rPr>
        <w:t>R.-</w:t>
      </w:r>
      <w:r w:rsidRPr="00DC1A48">
        <w:rPr>
          <w:b/>
          <w:noProof/>
          <w:lang w:eastAsia="es-MX"/>
        </w:rPr>
        <w:t>No aplica</w:t>
      </w:r>
      <w:r w:rsidR="00DC1A48">
        <w:rPr>
          <w:b/>
          <w:noProof/>
          <w:lang w:eastAsia="es-MX"/>
        </w:rPr>
        <w:t xml:space="preserve">, </w:t>
      </w:r>
      <w:r w:rsidR="00DC1A48" w:rsidRPr="00DC1A48">
        <w:rPr>
          <w:noProof/>
          <w:lang w:eastAsia="es-MX"/>
        </w:rPr>
        <w:t xml:space="preserve">ya que </w:t>
      </w:r>
      <w:r w:rsidRPr="00253E32">
        <w:rPr>
          <w:noProof/>
          <w:lang w:eastAsia="es-MX"/>
        </w:rPr>
        <w:t xml:space="preserve"> las condiciones de la Deuda contratada no requi</w:t>
      </w:r>
      <w:r w:rsidR="00DC1A48">
        <w:rPr>
          <w:noProof/>
          <w:lang w:eastAsia="es-MX"/>
        </w:rPr>
        <w:t>rieron</w:t>
      </w:r>
      <w:r w:rsidRPr="00253E32">
        <w:rPr>
          <w:noProof/>
          <w:lang w:eastAsia="es-MX"/>
        </w:rPr>
        <w:t xml:space="preserve"> de la celebración del Convenio con la Secretari</w:t>
      </w:r>
      <w:r w:rsidR="00DC1A48">
        <w:rPr>
          <w:noProof/>
          <w:lang w:eastAsia="es-MX"/>
        </w:rPr>
        <w:t xml:space="preserve">a de Hacienda y Credito Público, </w:t>
      </w:r>
      <w:r w:rsidR="00A736B4">
        <w:rPr>
          <w:noProof/>
          <w:lang w:eastAsia="es-MX"/>
        </w:rPr>
        <w:t xml:space="preserve">a </w:t>
      </w:r>
      <w:r w:rsidR="00DC1A48">
        <w:rPr>
          <w:noProof/>
          <w:lang w:eastAsia="es-MX"/>
        </w:rPr>
        <w:t xml:space="preserve">que alude </w:t>
      </w:r>
      <w:r w:rsidR="00A736B4">
        <w:rPr>
          <w:noProof/>
          <w:lang w:eastAsia="es-MX"/>
        </w:rPr>
        <w:t xml:space="preserve"> el artículo  40 de la LDF.</w:t>
      </w:r>
    </w:p>
    <w:p w:rsidR="002703FF" w:rsidRDefault="002703FF" w:rsidP="0012031E">
      <w:pPr>
        <w:spacing w:after="0" w:line="240" w:lineRule="auto"/>
        <w:rPr>
          <w:i/>
        </w:rPr>
      </w:pPr>
    </w:p>
    <w:p w:rsidR="002703FF" w:rsidRPr="002703FF" w:rsidRDefault="002703FF" w:rsidP="002703FF">
      <w:pPr>
        <w:spacing w:after="0" w:line="240" w:lineRule="auto"/>
        <w:rPr>
          <w:rFonts w:ascii="Arial" w:eastAsia="Times New Roman" w:hAnsi="Arial" w:cs="Arial"/>
          <w:sz w:val="16"/>
          <w:szCs w:val="16"/>
          <w:lang w:eastAsia="es-MX"/>
        </w:rPr>
      </w:pPr>
      <w:r w:rsidRPr="002703FF">
        <w:rPr>
          <w:rFonts w:ascii="Arial" w:eastAsia="Times New Roman" w:hAnsi="Arial" w:cs="Arial"/>
          <w:sz w:val="16"/>
          <w:szCs w:val="16"/>
          <w:lang w:eastAsia="es-MX"/>
        </w:rPr>
        <w:t>Bajo protesta de decir verdad declaramos que los Estados Financieros y sus notas, son razonablemente correctos y son responsabilidad del emisor.</w:t>
      </w:r>
    </w:p>
    <w:sectPr w:rsidR="002703FF" w:rsidRPr="002703FF" w:rsidSect="00E0751D">
      <w:headerReference w:type="default" r:id="rId9"/>
      <w:footerReference w:type="default" r:id="rId10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5A00" w:rsidRDefault="00705A00" w:rsidP="0012031E">
      <w:pPr>
        <w:spacing w:after="0" w:line="240" w:lineRule="auto"/>
      </w:pPr>
      <w:r>
        <w:separator/>
      </w:r>
    </w:p>
  </w:endnote>
  <w:endnote w:type="continuationSeparator" w:id="0">
    <w:p w:rsidR="00705A00" w:rsidRDefault="00705A00" w:rsidP="001203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33438540"/>
      <w:docPartObj>
        <w:docPartGallery w:val="Page Numbers (Bottom of Page)"/>
        <w:docPartUnique/>
      </w:docPartObj>
    </w:sdtPr>
    <w:sdtEndPr/>
    <w:sdtContent>
      <w:p w:rsidR="0012031E" w:rsidRDefault="0012031E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5588" w:rsidRPr="00C85588">
          <w:rPr>
            <w:noProof/>
            <w:lang w:val="es-ES"/>
          </w:rPr>
          <w:t>2</w:t>
        </w:r>
        <w:r>
          <w:fldChar w:fldCharType="end"/>
        </w:r>
      </w:p>
    </w:sdtContent>
  </w:sdt>
  <w:p w:rsidR="0012031E" w:rsidRDefault="0012031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5A00" w:rsidRDefault="00705A00" w:rsidP="0012031E">
      <w:pPr>
        <w:spacing w:after="0" w:line="240" w:lineRule="auto"/>
      </w:pPr>
      <w:r>
        <w:separator/>
      </w:r>
    </w:p>
  </w:footnote>
  <w:footnote w:type="continuationSeparator" w:id="0">
    <w:p w:rsidR="00705A00" w:rsidRDefault="00705A00" w:rsidP="001203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031E" w:rsidRDefault="00A442A4" w:rsidP="0012031E">
    <w:pPr>
      <w:pStyle w:val="Encabezado"/>
      <w:jc w:val="center"/>
      <w:rPr>
        <w:b/>
      </w:rPr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-843280</wp:posOffset>
          </wp:positionH>
          <wp:positionV relativeFrom="paragraph">
            <wp:posOffset>-393065</wp:posOffset>
          </wp:positionV>
          <wp:extent cx="1809991" cy="102870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1863" cy="102976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01036" w:rsidRPr="00601036">
      <w:rPr>
        <w:b/>
      </w:rPr>
      <w:t>MUNICIPIO DE CELAYA GUANAJUATO</w:t>
    </w:r>
  </w:p>
  <w:p w:rsidR="00184164" w:rsidRPr="00601036" w:rsidRDefault="00184164" w:rsidP="0012031E">
    <w:pPr>
      <w:pStyle w:val="Encabezado"/>
      <w:jc w:val="center"/>
      <w:rPr>
        <w:b/>
      </w:rPr>
    </w:pPr>
    <w:r>
      <w:rPr>
        <w:b/>
      </w:rPr>
      <w:t>NOTAS DE DISCIPLINA FINANCIERA</w:t>
    </w:r>
  </w:p>
  <w:p w:rsidR="0012031E" w:rsidRPr="00601036" w:rsidRDefault="0012031E" w:rsidP="0012031E">
    <w:pPr>
      <w:pStyle w:val="Encabezado"/>
      <w:jc w:val="center"/>
      <w:rPr>
        <w:b/>
      </w:rPr>
    </w:pPr>
    <w:r w:rsidRPr="00601036">
      <w:rPr>
        <w:b/>
      </w:rPr>
      <w:t>CORRESPONDI</w:t>
    </w:r>
    <w:r w:rsidR="00601036" w:rsidRPr="00601036">
      <w:rPr>
        <w:b/>
      </w:rPr>
      <w:t>E</w:t>
    </w:r>
    <w:r w:rsidRPr="00601036">
      <w:rPr>
        <w:b/>
      </w:rPr>
      <w:t xml:space="preserve">NTES AL </w:t>
    </w:r>
    <w:r w:rsidR="00182885">
      <w:rPr>
        <w:b/>
      </w:rPr>
      <w:t>3</w:t>
    </w:r>
    <w:r w:rsidR="007B1AAC">
      <w:rPr>
        <w:b/>
      </w:rPr>
      <w:t>1</w:t>
    </w:r>
    <w:r w:rsidR="00601036" w:rsidRPr="00601036">
      <w:rPr>
        <w:b/>
      </w:rPr>
      <w:t xml:space="preserve"> DE </w:t>
    </w:r>
    <w:r w:rsidR="007B1AAC">
      <w:rPr>
        <w:b/>
      </w:rPr>
      <w:t>DICIEMBRE</w:t>
    </w:r>
    <w:r w:rsidR="00D32944">
      <w:rPr>
        <w:b/>
      </w:rPr>
      <w:t xml:space="preserve"> </w:t>
    </w:r>
    <w:r w:rsidR="00601036" w:rsidRPr="00601036">
      <w:rPr>
        <w:b/>
      </w:rPr>
      <w:t>201</w:t>
    </w:r>
    <w:r w:rsidR="00184164">
      <w:rPr>
        <w:b/>
      </w:rPr>
      <w:t>9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51D"/>
    <w:rsid w:val="00064992"/>
    <w:rsid w:val="000F7572"/>
    <w:rsid w:val="00103CB8"/>
    <w:rsid w:val="0012031E"/>
    <w:rsid w:val="00182885"/>
    <w:rsid w:val="00184164"/>
    <w:rsid w:val="00210FF6"/>
    <w:rsid w:val="00253E32"/>
    <w:rsid w:val="002703FF"/>
    <w:rsid w:val="00331647"/>
    <w:rsid w:val="003C504D"/>
    <w:rsid w:val="003C52E1"/>
    <w:rsid w:val="00412D60"/>
    <w:rsid w:val="00497C42"/>
    <w:rsid w:val="004C23EA"/>
    <w:rsid w:val="00563BBD"/>
    <w:rsid w:val="00565E78"/>
    <w:rsid w:val="00601036"/>
    <w:rsid w:val="006951DF"/>
    <w:rsid w:val="00705A00"/>
    <w:rsid w:val="0077289E"/>
    <w:rsid w:val="0079114E"/>
    <w:rsid w:val="007B1AAC"/>
    <w:rsid w:val="008245CE"/>
    <w:rsid w:val="008848B1"/>
    <w:rsid w:val="00886F7C"/>
    <w:rsid w:val="00940570"/>
    <w:rsid w:val="00986153"/>
    <w:rsid w:val="00A442A4"/>
    <w:rsid w:val="00A45BFC"/>
    <w:rsid w:val="00A736B4"/>
    <w:rsid w:val="00A827B2"/>
    <w:rsid w:val="00AA49BB"/>
    <w:rsid w:val="00AF5CAD"/>
    <w:rsid w:val="00B76077"/>
    <w:rsid w:val="00BC3111"/>
    <w:rsid w:val="00BD1197"/>
    <w:rsid w:val="00C4137F"/>
    <w:rsid w:val="00C740FD"/>
    <w:rsid w:val="00C85588"/>
    <w:rsid w:val="00D27064"/>
    <w:rsid w:val="00D32944"/>
    <w:rsid w:val="00DB229E"/>
    <w:rsid w:val="00DC1A48"/>
    <w:rsid w:val="00E0751D"/>
    <w:rsid w:val="00E46D20"/>
    <w:rsid w:val="00E560BA"/>
    <w:rsid w:val="00E67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2DFC60F1-1071-4BF9-82F1-E4243B63F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0751D"/>
    <w:pPr>
      <w:ind w:left="720"/>
      <w:contextualSpacing/>
    </w:pPr>
  </w:style>
  <w:style w:type="character" w:styleId="Hipervnculo">
    <w:name w:val="Hyperlink"/>
    <w:uiPriority w:val="99"/>
    <w:unhideWhenUsed/>
    <w:rsid w:val="0012031E"/>
    <w:rPr>
      <w:color w:val="0000FF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2031E"/>
  </w:style>
  <w:style w:type="paragraph" w:styleId="Piedepgina">
    <w:name w:val="footer"/>
    <w:basedOn w:val="Normal"/>
    <w:link w:val="PiedepginaCar"/>
    <w:uiPriority w:val="99"/>
    <w:unhideWhenUsed/>
    <w:rsid w:val="0012031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2031E"/>
  </w:style>
  <w:style w:type="paragraph" w:styleId="NormalWeb">
    <w:name w:val="Normal (Web)"/>
    <w:basedOn w:val="Normal"/>
    <w:uiPriority w:val="99"/>
    <w:semiHidden/>
    <w:unhideWhenUsed/>
    <w:rsid w:val="0060103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010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010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5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2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5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5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4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3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5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6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1E6045A-5EF8-4EDA-9E9C-43EFC75C89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8C86FFA-628D-4249-886A-1920884A60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FC24E1-7502-469E-8422-37EF5C4D93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3316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Corona Barrientos Alejandro</dc:creator>
  <cp:keywords/>
  <dc:description/>
  <cp:lastModifiedBy>Luis-Torres</cp:lastModifiedBy>
  <cp:revision>2</cp:revision>
  <cp:lastPrinted>2019-04-25T19:45:00Z</cp:lastPrinted>
  <dcterms:created xsi:type="dcterms:W3CDTF">2020-03-03T21:02:00Z</dcterms:created>
  <dcterms:modified xsi:type="dcterms:W3CDTF">2020-03-03T21:02:00Z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