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8B689A"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1E5FD4B7" w14:textId="3D6B7199" w:rsidR="00AB53F1"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84235525" w:history="1">
            <w:r w:rsidR="00AB53F1" w:rsidRPr="00FD679E">
              <w:rPr>
                <w:rStyle w:val="Hipervnculo"/>
                <w:rFonts w:cstheme="minorHAnsi"/>
                <w:b/>
                <w:noProof/>
              </w:rPr>
              <w:t>1. Introducción:</w:t>
            </w:r>
            <w:r w:rsidR="00AB53F1">
              <w:rPr>
                <w:noProof/>
                <w:webHidden/>
              </w:rPr>
              <w:tab/>
            </w:r>
            <w:r w:rsidR="00AB53F1">
              <w:rPr>
                <w:noProof/>
                <w:webHidden/>
              </w:rPr>
              <w:fldChar w:fldCharType="begin"/>
            </w:r>
            <w:r w:rsidR="00AB53F1">
              <w:rPr>
                <w:noProof/>
                <w:webHidden/>
              </w:rPr>
              <w:instrText xml:space="preserve"> PAGEREF _Toc84235525 \h </w:instrText>
            </w:r>
            <w:r w:rsidR="00AB53F1">
              <w:rPr>
                <w:noProof/>
                <w:webHidden/>
              </w:rPr>
            </w:r>
            <w:r w:rsidR="00AB53F1">
              <w:rPr>
                <w:noProof/>
                <w:webHidden/>
              </w:rPr>
              <w:fldChar w:fldCharType="separate"/>
            </w:r>
            <w:r w:rsidR="00F73BB2">
              <w:rPr>
                <w:noProof/>
                <w:webHidden/>
              </w:rPr>
              <w:t>2</w:t>
            </w:r>
            <w:r w:rsidR="00AB53F1">
              <w:rPr>
                <w:noProof/>
                <w:webHidden/>
              </w:rPr>
              <w:fldChar w:fldCharType="end"/>
            </w:r>
          </w:hyperlink>
        </w:p>
        <w:p w14:paraId="5D70277A" w14:textId="63CE9085" w:rsidR="00AB53F1" w:rsidRDefault="008B689A">
          <w:pPr>
            <w:pStyle w:val="TDC2"/>
            <w:tabs>
              <w:tab w:val="right" w:leader="dot" w:pos="9678"/>
            </w:tabs>
            <w:rPr>
              <w:rFonts w:asciiTheme="minorHAnsi" w:eastAsiaTheme="minorEastAsia" w:hAnsiTheme="minorHAnsi" w:cstheme="minorBidi"/>
              <w:noProof/>
              <w:lang w:eastAsia="es-MX"/>
            </w:rPr>
          </w:pPr>
          <w:hyperlink w:anchor="_Toc84235526" w:history="1">
            <w:r w:rsidR="00AB53F1" w:rsidRPr="00FD679E">
              <w:rPr>
                <w:rStyle w:val="Hipervnculo"/>
                <w:rFonts w:cstheme="minorHAnsi"/>
                <w:b/>
                <w:noProof/>
              </w:rPr>
              <w:t>2. Describir el panorama Económico y Financiero:</w:t>
            </w:r>
            <w:r w:rsidR="00AB53F1">
              <w:rPr>
                <w:noProof/>
                <w:webHidden/>
              </w:rPr>
              <w:tab/>
            </w:r>
            <w:r w:rsidR="00AB53F1">
              <w:rPr>
                <w:noProof/>
                <w:webHidden/>
              </w:rPr>
              <w:fldChar w:fldCharType="begin"/>
            </w:r>
            <w:r w:rsidR="00AB53F1">
              <w:rPr>
                <w:noProof/>
                <w:webHidden/>
              </w:rPr>
              <w:instrText xml:space="preserve"> PAGEREF _Toc84235526 \h </w:instrText>
            </w:r>
            <w:r w:rsidR="00AB53F1">
              <w:rPr>
                <w:noProof/>
                <w:webHidden/>
              </w:rPr>
            </w:r>
            <w:r w:rsidR="00AB53F1">
              <w:rPr>
                <w:noProof/>
                <w:webHidden/>
              </w:rPr>
              <w:fldChar w:fldCharType="separate"/>
            </w:r>
            <w:r w:rsidR="00F73BB2">
              <w:rPr>
                <w:noProof/>
                <w:webHidden/>
              </w:rPr>
              <w:t>2</w:t>
            </w:r>
            <w:r w:rsidR="00AB53F1">
              <w:rPr>
                <w:noProof/>
                <w:webHidden/>
              </w:rPr>
              <w:fldChar w:fldCharType="end"/>
            </w:r>
          </w:hyperlink>
        </w:p>
        <w:p w14:paraId="32A75999" w14:textId="230A929C" w:rsidR="00AB53F1" w:rsidRDefault="008B689A">
          <w:pPr>
            <w:pStyle w:val="TDC2"/>
            <w:tabs>
              <w:tab w:val="right" w:leader="dot" w:pos="9678"/>
            </w:tabs>
            <w:rPr>
              <w:rFonts w:asciiTheme="minorHAnsi" w:eastAsiaTheme="minorEastAsia" w:hAnsiTheme="minorHAnsi" w:cstheme="minorBidi"/>
              <w:noProof/>
              <w:lang w:eastAsia="es-MX"/>
            </w:rPr>
          </w:pPr>
          <w:hyperlink w:anchor="_Toc84235527" w:history="1">
            <w:r w:rsidR="00AB53F1" w:rsidRPr="00FD679E">
              <w:rPr>
                <w:rStyle w:val="Hipervnculo"/>
                <w:rFonts w:cstheme="minorHAnsi"/>
                <w:b/>
                <w:noProof/>
              </w:rPr>
              <w:t>3. Autorización e Historia:</w:t>
            </w:r>
            <w:r w:rsidR="00AB53F1">
              <w:rPr>
                <w:noProof/>
                <w:webHidden/>
              </w:rPr>
              <w:tab/>
            </w:r>
            <w:r w:rsidR="00AB53F1">
              <w:rPr>
                <w:noProof/>
                <w:webHidden/>
              </w:rPr>
              <w:fldChar w:fldCharType="begin"/>
            </w:r>
            <w:r w:rsidR="00AB53F1">
              <w:rPr>
                <w:noProof/>
                <w:webHidden/>
              </w:rPr>
              <w:instrText xml:space="preserve"> PAGEREF _Toc84235527 \h </w:instrText>
            </w:r>
            <w:r w:rsidR="00AB53F1">
              <w:rPr>
                <w:noProof/>
                <w:webHidden/>
              </w:rPr>
            </w:r>
            <w:r w:rsidR="00AB53F1">
              <w:rPr>
                <w:noProof/>
                <w:webHidden/>
              </w:rPr>
              <w:fldChar w:fldCharType="separate"/>
            </w:r>
            <w:r w:rsidR="00F73BB2">
              <w:rPr>
                <w:noProof/>
                <w:webHidden/>
              </w:rPr>
              <w:t>3</w:t>
            </w:r>
            <w:r w:rsidR="00AB53F1">
              <w:rPr>
                <w:noProof/>
                <w:webHidden/>
              </w:rPr>
              <w:fldChar w:fldCharType="end"/>
            </w:r>
          </w:hyperlink>
        </w:p>
        <w:p w14:paraId="59251A19" w14:textId="1184463F" w:rsidR="00AB53F1" w:rsidRDefault="008B689A">
          <w:pPr>
            <w:pStyle w:val="TDC2"/>
            <w:tabs>
              <w:tab w:val="right" w:leader="dot" w:pos="9678"/>
            </w:tabs>
            <w:rPr>
              <w:rFonts w:asciiTheme="minorHAnsi" w:eastAsiaTheme="minorEastAsia" w:hAnsiTheme="minorHAnsi" w:cstheme="minorBidi"/>
              <w:noProof/>
              <w:lang w:eastAsia="es-MX"/>
            </w:rPr>
          </w:pPr>
          <w:hyperlink w:anchor="_Toc84235528" w:history="1">
            <w:r w:rsidR="00AB53F1" w:rsidRPr="00FD679E">
              <w:rPr>
                <w:rStyle w:val="Hipervnculo"/>
                <w:rFonts w:cstheme="minorHAnsi"/>
                <w:b/>
                <w:noProof/>
              </w:rPr>
              <w:t>4. Organización y Objeto Social:</w:t>
            </w:r>
            <w:r w:rsidR="00AB53F1">
              <w:rPr>
                <w:noProof/>
                <w:webHidden/>
              </w:rPr>
              <w:tab/>
            </w:r>
            <w:r w:rsidR="00AB53F1">
              <w:rPr>
                <w:noProof/>
                <w:webHidden/>
              </w:rPr>
              <w:fldChar w:fldCharType="begin"/>
            </w:r>
            <w:r w:rsidR="00AB53F1">
              <w:rPr>
                <w:noProof/>
                <w:webHidden/>
              </w:rPr>
              <w:instrText xml:space="preserve"> PAGEREF _Toc84235528 \h </w:instrText>
            </w:r>
            <w:r w:rsidR="00AB53F1">
              <w:rPr>
                <w:noProof/>
                <w:webHidden/>
              </w:rPr>
            </w:r>
            <w:r w:rsidR="00AB53F1">
              <w:rPr>
                <w:noProof/>
                <w:webHidden/>
              </w:rPr>
              <w:fldChar w:fldCharType="separate"/>
            </w:r>
            <w:r w:rsidR="00F73BB2">
              <w:rPr>
                <w:noProof/>
                <w:webHidden/>
              </w:rPr>
              <w:t>4</w:t>
            </w:r>
            <w:r w:rsidR="00AB53F1">
              <w:rPr>
                <w:noProof/>
                <w:webHidden/>
              </w:rPr>
              <w:fldChar w:fldCharType="end"/>
            </w:r>
          </w:hyperlink>
        </w:p>
        <w:p w14:paraId="7F6710E9" w14:textId="5FC45769" w:rsidR="00AB53F1" w:rsidRDefault="008B689A">
          <w:pPr>
            <w:pStyle w:val="TDC2"/>
            <w:tabs>
              <w:tab w:val="right" w:leader="dot" w:pos="9678"/>
            </w:tabs>
            <w:rPr>
              <w:rFonts w:asciiTheme="minorHAnsi" w:eastAsiaTheme="minorEastAsia" w:hAnsiTheme="minorHAnsi" w:cstheme="minorBidi"/>
              <w:noProof/>
              <w:lang w:eastAsia="es-MX"/>
            </w:rPr>
          </w:pPr>
          <w:hyperlink w:anchor="_Toc84235529" w:history="1">
            <w:r w:rsidR="00AB53F1" w:rsidRPr="00FD679E">
              <w:rPr>
                <w:rStyle w:val="Hipervnculo"/>
                <w:rFonts w:cstheme="minorHAnsi"/>
                <w:b/>
                <w:noProof/>
              </w:rPr>
              <w:t>5. Bases de Preparación de los Estados Financieros:</w:t>
            </w:r>
            <w:r w:rsidR="00AB53F1">
              <w:rPr>
                <w:noProof/>
                <w:webHidden/>
              </w:rPr>
              <w:tab/>
            </w:r>
            <w:r w:rsidR="00AB53F1">
              <w:rPr>
                <w:noProof/>
                <w:webHidden/>
              </w:rPr>
              <w:fldChar w:fldCharType="begin"/>
            </w:r>
            <w:r w:rsidR="00AB53F1">
              <w:rPr>
                <w:noProof/>
                <w:webHidden/>
              </w:rPr>
              <w:instrText xml:space="preserve"> PAGEREF _Toc84235529 \h </w:instrText>
            </w:r>
            <w:r w:rsidR="00AB53F1">
              <w:rPr>
                <w:noProof/>
                <w:webHidden/>
              </w:rPr>
            </w:r>
            <w:r w:rsidR="00AB53F1">
              <w:rPr>
                <w:noProof/>
                <w:webHidden/>
              </w:rPr>
              <w:fldChar w:fldCharType="separate"/>
            </w:r>
            <w:r w:rsidR="00F73BB2">
              <w:rPr>
                <w:noProof/>
                <w:webHidden/>
              </w:rPr>
              <w:t>5</w:t>
            </w:r>
            <w:r w:rsidR="00AB53F1">
              <w:rPr>
                <w:noProof/>
                <w:webHidden/>
              </w:rPr>
              <w:fldChar w:fldCharType="end"/>
            </w:r>
          </w:hyperlink>
        </w:p>
        <w:p w14:paraId="3000C710" w14:textId="43074ED8" w:rsidR="00AB53F1" w:rsidRDefault="008B689A">
          <w:pPr>
            <w:pStyle w:val="TDC2"/>
            <w:tabs>
              <w:tab w:val="right" w:leader="dot" w:pos="9678"/>
            </w:tabs>
            <w:rPr>
              <w:rFonts w:asciiTheme="minorHAnsi" w:eastAsiaTheme="minorEastAsia" w:hAnsiTheme="minorHAnsi" w:cstheme="minorBidi"/>
              <w:noProof/>
              <w:lang w:eastAsia="es-MX"/>
            </w:rPr>
          </w:pPr>
          <w:hyperlink w:anchor="_Toc84235530" w:history="1">
            <w:r w:rsidR="00AB53F1" w:rsidRPr="00FD679E">
              <w:rPr>
                <w:rStyle w:val="Hipervnculo"/>
                <w:rFonts w:cstheme="minorHAnsi"/>
                <w:b/>
                <w:noProof/>
              </w:rPr>
              <w:t>6. Políticas de Contabilidad Significativas:</w:t>
            </w:r>
            <w:r w:rsidR="00AB53F1">
              <w:rPr>
                <w:noProof/>
                <w:webHidden/>
              </w:rPr>
              <w:tab/>
            </w:r>
            <w:r w:rsidR="00AB53F1">
              <w:rPr>
                <w:noProof/>
                <w:webHidden/>
              </w:rPr>
              <w:fldChar w:fldCharType="begin"/>
            </w:r>
            <w:r w:rsidR="00AB53F1">
              <w:rPr>
                <w:noProof/>
                <w:webHidden/>
              </w:rPr>
              <w:instrText xml:space="preserve"> PAGEREF _Toc84235530 \h </w:instrText>
            </w:r>
            <w:r w:rsidR="00AB53F1">
              <w:rPr>
                <w:noProof/>
                <w:webHidden/>
              </w:rPr>
            </w:r>
            <w:r w:rsidR="00AB53F1">
              <w:rPr>
                <w:noProof/>
                <w:webHidden/>
              </w:rPr>
              <w:fldChar w:fldCharType="separate"/>
            </w:r>
            <w:r w:rsidR="00F73BB2">
              <w:rPr>
                <w:noProof/>
                <w:webHidden/>
              </w:rPr>
              <w:t>6</w:t>
            </w:r>
            <w:r w:rsidR="00AB53F1">
              <w:rPr>
                <w:noProof/>
                <w:webHidden/>
              </w:rPr>
              <w:fldChar w:fldCharType="end"/>
            </w:r>
          </w:hyperlink>
        </w:p>
        <w:p w14:paraId="28E17393" w14:textId="6A7B4399" w:rsidR="00AB53F1" w:rsidRDefault="008B689A">
          <w:pPr>
            <w:pStyle w:val="TDC2"/>
            <w:tabs>
              <w:tab w:val="right" w:leader="dot" w:pos="9678"/>
            </w:tabs>
            <w:rPr>
              <w:rFonts w:asciiTheme="minorHAnsi" w:eastAsiaTheme="minorEastAsia" w:hAnsiTheme="minorHAnsi" w:cstheme="minorBidi"/>
              <w:noProof/>
              <w:lang w:eastAsia="es-MX"/>
            </w:rPr>
          </w:pPr>
          <w:hyperlink w:anchor="_Toc84235531" w:history="1">
            <w:r w:rsidR="00AB53F1" w:rsidRPr="00FD679E">
              <w:rPr>
                <w:rStyle w:val="Hipervnculo"/>
                <w:rFonts w:cstheme="minorHAnsi"/>
                <w:b/>
                <w:noProof/>
              </w:rPr>
              <w:t>7. Posición en Moneda Extranjera y Protección por Riesgo Cambiario:</w:t>
            </w:r>
            <w:r w:rsidR="00AB53F1">
              <w:rPr>
                <w:noProof/>
                <w:webHidden/>
              </w:rPr>
              <w:tab/>
            </w:r>
            <w:r w:rsidR="00AB53F1">
              <w:rPr>
                <w:noProof/>
                <w:webHidden/>
              </w:rPr>
              <w:fldChar w:fldCharType="begin"/>
            </w:r>
            <w:r w:rsidR="00AB53F1">
              <w:rPr>
                <w:noProof/>
                <w:webHidden/>
              </w:rPr>
              <w:instrText xml:space="preserve"> PAGEREF _Toc84235531 \h </w:instrText>
            </w:r>
            <w:r w:rsidR="00AB53F1">
              <w:rPr>
                <w:noProof/>
                <w:webHidden/>
              </w:rPr>
            </w:r>
            <w:r w:rsidR="00AB53F1">
              <w:rPr>
                <w:noProof/>
                <w:webHidden/>
              </w:rPr>
              <w:fldChar w:fldCharType="separate"/>
            </w:r>
            <w:r w:rsidR="00F73BB2">
              <w:rPr>
                <w:noProof/>
                <w:webHidden/>
              </w:rPr>
              <w:t>7</w:t>
            </w:r>
            <w:r w:rsidR="00AB53F1">
              <w:rPr>
                <w:noProof/>
                <w:webHidden/>
              </w:rPr>
              <w:fldChar w:fldCharType="end"/>
            </w:r>
          </w:hyperlink>
        </w:p>
        <w:p w14:paraId="6C1BA22B" w14:textId="6337951D" w:rsidR="00AB53F1" w:rsidRDefault="008B689A">
          <w:pPr>
            <w:pStyle w:val="TDC2"/>
            <w:tabs>
              <w:tab w:val="right" w:leader="dot" w:pos="9678"/>
            </w:tabs>
            <w:rPr>
              <w:rFonts w:asciiTheme="minorHAnsi" w:eastAsiaTheme="minorEastAsia" w:hAnsiTheme="minorHAnsi" w:cstheme="minorBidi"/>
              <w:noProof/>
              <w:lang w:eastAsia="es-MX"/>
            </w:rPr>
          </w:pPr>
          <w:hyperlink w:anchor="_Toc84235532" w:history="1">
            <w:r w:rsidR="00AB53F1" w:rsidRPr="00FD679E">
              <w:rPr>
                <w:rStyle w:val="Hipervnculo"/>
                <w:rFonts w:cstheme="minorHAnsi"/>
                <w:b/>
                <w:noProof/>
              </w:rPr>
              <w:t>8. Reporte Analítico del Activo:</w:t>
            </w:r>
            <w:r w:rsidR="00AB53F1">
              <w:rPr>
                <w:noProof/>
                <w:webHidden/>
              </w:rPr>
              <w:tab/>
            </w:r>
            <w:r w:rsidR="00AB53F1">
              <w:rPr>
                <w:noProof/>
                <w:webHidden/>
              </w:rPr>
              <w:fldChar w:fldCharType="begin"/>
            </w:r>
            <w:r w:rsidR="00AB53F1">
              <w:rPr>
                <w:noProof/>
                <w:webHidden/>
              </w:rPr>
              <w:instrText xml:space="preserve"> PAGEREF _Toc84235532 \h </w:instrText>
            </w:r>
            <w:r w:rsidR="00AB53F1">
              <w:rPr>
                <w:noProof/>
                <w:webHidden/>
              </w:rPr>
            </w:r>
            <w:r w:rsidR="00AB53F1">
              <w:rPr>
                <w:noProof/>
                <w:webHidden/>
              </w:rPr>
              <w:fldChar w:fldCharType="separate"/>
            </w:r>
            <w:r w:rsidR="00F73BB2">
              <w:rPr>
                <w:noProof/>
                <w:webHidden/>
              </w:rPr>
              <w:t>7</w:t>
            </w:r>
            <w:r w:rsidR="00AB53F1">
              <w:rPr>
                <w:noProof/>
                <w:webHidden/>
              </w:rPr>
              <w:fldChar w:fldCharType="end"/>
            </w:r>
          </w:hyperlink>
        </w:p>
        <w:p w14:paraId="7B294EAB" w14:textId="1C0BD1C7" w:rsidR="00AB53F1" w:rsidRDefault="008B689A">
          <w:pPr>
            <w:pStyle w:val="TDC2"/>
            <w:tabs>
              <w:tab w:val="right" w:leader="dot" w:pos="9678"/>
            </w:tabs>
            <w:rPr>
              <w:rFonts w:asciiTheme="minorHAnsi" w:eastAsiaTheme="minorEastAsia" w:hAnsiTheme="minorHAnsi" w:cstheme="minorBidi"/>
              <w:noProof/>
              <w:lang w:eastAsia="es-MX"/>
            </w:rPr>
          </w:pPr>
          <w:hyperlink w:anchor="_Toc84235533" w:history="1">
            <w:r w:rsidR="00AB53F1" w:rsidRPr="00FD679E">
              <w:rPr>
                <w:rStyle w:val="Hipervnculo"/>
                <w:rFonts w:cstheme="minorHAnsi"/>
                <w:b/>
                <w:noProof/>
              </w:rPr>
              <w:t>9. Fideicomisos, Mandatos y Análogos:</w:t>
            </w:r>
            <w:r w:rsidR="00AB53F1">
              <w:rPr>
                <w:noProof/>
                <w:webHidden/>
              </w:rPr>
              <w:tab/>
            </w:r>
            <w:r w:rsidR="00AB53F1">
              <w:rPr>
                <w:noProof/>
                <w:webHidden/>
              </w:rPr>
              <w:fldChar w:fldCharType="begin"/>
            </w:r>
            <w:r w:rsidR="00AB53F1">
              <w:rPr>
                <w:noProof/>
                <w:webHidden/>
              </w:rPr>
              <w:instrText xml:space="preserve"> PAGEREF _Toc84235533 \h </w:instrText>
            </w:r>
            <w:r w:rsidR="00AB53F1">
              <w:rPr>
                <w:noProof/>
                <w:webHidden/>
              </w:rPr>
            </w:r>
            <w:r w:rsidR="00AB53F1">
              <w:rPr>
                <w:noProof/>
                <w:webHidden/>
              </w:rPr>
              <w:fldChar w:fldCharType="separate"/>
            </w:r>
            <w:r w:rsidR="00F73BB2">
              <w:rPr>
                <w:noProof/>
                <w:webHidden/>
              </w:rPr>
              <w:t>9</w:t>
            </w:r>
            <w:r w:rsidR="00AB53F1">
              <w:rPr>
                <w:noProof/>
                <w:webHidden/>
              </w:rPr>
              <w:fldChar w:fldCharType="end"/>
            </w:r>
          </w:hyperlink>
        </w:p>
        <w:p w14:paraId="7ABBEA7B" w14:textId="789B0DF7" w:rsidR="00AB53F1" w:rsidRDefault="008B689A">
          <w:pPr>
            <w:pStyle w:val="TDC2"/>
            <w:tabs>
              <w:tab w:val="right" w:leader="dot" w:pos="9678"/>
            </w:tabs>
            <w:rPr>
              <w:rFonts w:asciiTheme="minorHAnsi" w:eastAsiaTheme="minorEastAsia" w:hAnsiTheme="minorHAnsi" w:cstheme="minorBidi"/>
              <w:noProof/>
              <w:lang w:eastAsia="es-MX"/>
            </w:rPr>
          </w:pPr>
          <w:hyperlink w:anchor="_Toc84235534" w:history="1">
            <w:r w:rsidR="00AB53F1" w:rsidRPr="00FD679E">
              <w:rPr>
                <w:rStyle w:val="Hipervnculo"/>
                <w:rFonts w:cstheme="minorHAnsi"/>
                <w:b/>
                <w:noProof/>
              </w:rPr>
              <w:t>11. Información sobre la Deuda y el Reporte Analítico de la Deuda:</w:t>
            </w:r>
            <w:r w:rsidR="00AB53F1">
              <w:rPr>
                <w:noProof/>
                <w:webHidden/>
              </w:rPr>
              <w:tab/>
            </w:r>
            <w:r w:rsidR="00AB53F1">
              <w:rPr>
                <w:noProof/>
                <w:webHidden/>
              </w:rPr>
              <w:fldChar w:fldCharType="begin"/>
            </w:r>
            <w:r w:rsidR="00AB53F1">
              <w:rPr>
                <w:noProof/>
                <w:webHidden/>
              </w:rPr>
              <w:instrText xml:space="preserve"> PAGEREF _Toc84235534 \h </w:instrText>
            </w:r>
            <w:r w:rsidR="00AB53F1">
              <w:rPr>
                <w:noProof/>
                <w:webHidden/>
              </w:rPr>
            </w:r>
            <w:r w:rsidR="00AB53F1">
              <w:rPr>
                <w:noProof/>
                <w:webHidden/>
              </w:rPr>
              <w:fldChar w:fldCharType="separate"/>
            </w:r>
            <w:r w:rsidR="00F73BB2">
              <w:rPr>
                <w:noProof/>
                <w:webHidden/>
              </w:rPr>
              <w:t>9</w:t>
            </w:r>
            <w:r w:rsidR="00AB53F1">
              <w:rPr>
                <w:noProof/>
                <w:webHidden/>
              </w:rPr>
              <w:fldChar w:fldCharType="end"/>
            </w:r>
          </w:hyperlink>
        </w:p>
        <w:p w14:paraId="161F7456" w14:textId="460A0FCF" w:rsidR="00AB53F1" w:rsidRDefault="008B689A">
          <w:pPr>
            <w:pStyle w:val="TDC2"/>
            <w:tabs>
              <w:tab w:val="right" w:leader="dot" w:pos="9678"/>
            </w:tabs>
            <w:rPr>
              <w:rFonts w:asciiTheme="minorHAnsi" w:eastAsiaTheme="minorEastAsia" w:hAnsiTheme="minorHAnsi" w:cstheme="minorBidi"/>
              <w:noProof/>
              <w:lang w:eastAsia="es-MX"/>
            </w:rPr>
          </w:pPr>
          <w:hyperlink w:anchor="_Toc84235535" w:history="1">
            <w:r w:rsidR="00AB53F1" w:rsidRPr="00FD679E">
              <w:rPr>
                <w:rStyle w:val="Hipervnculo"/>
                <w:rFonts w:cstheme="minorHAnsi"/>
                <w:b/>
                <w:noProof/>
              </w:rPr>
              <w:t>12. Calificaciones otorgadas:</w:t>
            </w:r>
            <w:r w:rsidR="00AB53F1">
              <w:rPr>
                <w:noProof/>
                <w:webHidden/>
              </w:rPr>
              <w:tab/>
            </w:r>
            <w:r w:rsidR="00AB53F1">
              <w:rPr>
                <w:noProof/>
                <w:webHidden/>
              </w:rPr>
              <w:fldChar w:fldCharType="begin"/>
            </w:r>
            <w:r w:rsidR="00AB53F1">
              <w:rPr>
                <w:noProof/>
                <w:webHidden/>
              </w:rPr>
              <w:instrText xml:space="preserve"> PAGEREF _Toc84235535 \h </w:instrText>
            </w:r>
            <w:r w:rsidR="00AB53F1">
              <w:rPr>
                <w:noProof/>
                <w:webHidden/>
              </w:rPr>
            </w:r>
            <w:r w:rsidR="00AB53F1">
              <w:rPr>
                <w:noProof/>
                <w:webHidden/>
              </w:rPr>
              <w:fldChar w:fldCharType="separate"/>
            </w:r>
            <w:r w:rsidR="00F73BB2">
              <w:rPr>
                <w:noProof/>
                <w:webHidden/>
              </w:rPr>
              <w:t>9</w:t>
            </w:r>
            <w:r w:rsidR="00AB53F1">
              <w:rPr>
                <w:noProof/>
                <w:webHidden/>
              </w:rPr>
              <w:fldChar w:fldCharType="end"/>
            </w:r>
          </w:hyperlink>
        </w:p>
        <w:p w14:paraId="4FBEC043" w14:textId="1AE88619" w:rsidR="00AB53F1" w:rsidRDefault="008B689A">
          <w:pPr>
            <w:pStyle w:val="TDC2"/>
            <w:tabs>
              <w:tab w:val="right" w:leader="dot" w:pos="9678"/>
            </w:tabs>
            <w:rPr>
              <w:rFonts w:asciiTheme="minorHAnsi" w:eastAsiaTheme="minorEastAsia" w:hAnsiTheme="minorHAnsi" w:cstheme="minorBidi"/>
              <w:noProof/>
              <w:lang w:eastAsia="es-MX"/>
            </w:rPr>
          </w:pPr>
          <w:hyperlink w:anchor="_Toc84235536" w:history="1">
            <w:r w:rsidR="00AB53F1" w:rsidRPr="00FD679E">
              <w:rPr>
                <w:rStyle w:val="Hipervnculo"/>
                <w:rFonts w:cstheme="minorHAnsi"/>
                <w:b/>
                <w:noProof/>
              </w:rPr>
              <w:t>13. Proceso de Mejora:</w:t>
            </w:r>
            <w:r w:rsidR="00AB53F1">
              <w:rPr>
                <w:noProof/>
                <w:webHidden/>
              </w:rPr>
              <w:tab/>
            </w:r>
            <w:r w:rsidR="00AB53F1">
              <w:rPr>
                <w:noProof/>
                <w:webHidden/>
              </w:rPr>
              <w:fldChar w:fldCharType="begin"/>
            </w:r>
            <w:r w:rsidR="00AB53F1">
              <w:rPr>
                <w:noProof/>
                <w:webHidden/>
              </w:rPr>
              <w:instrText xml:space="preserve"> PAGEREF _Toc84235536 \h </w:instrText>
            </w:r>
            <w:r w:rsidR="00AB53F1">
              <w:rPr>
                <w:noProof/>
                <w:webHidden/>
              </w:rPr>
            </w:r>
            <w:r w:rsidR="00AB53F1">
              <w:rPr>
                <w:noProof/>
                <w:webHidden/>
              </w:rPr>
              <w:fldChar w:fldCharType="separate"/>
            </w:r>
            <w:r w:rsidR="00F73BB2">
              <w:rPr>
                <w:noProof/>
                <w:webHidden/>
              </w:rPr>
              <w:t>10</w:t>
            </w:r>
            <w:r w:rsidR="00AB53F1">
              <w:rPr>
                <w:noProof/>
                <w:webHidden/>
              </w:rPr>
              <w:fldChar w:fldCharType="end"/>
            </w:r>
          </w:hyperlink>
        </w:p>
        <w:p w14:paraId="63E2ACF2" w14:textId="28A9070D" w:rsidR="00AB53F1" w:rsidRDefault="008B689A">
          <w:pPr>
            <w:pStyle w:val="TDC2"/>
            <w:tabs>
              <w:tab w:val="right" w:leader="dot" w:pos="9678"/>
            </w:tabs>
            <w:rPr>
              <w:rFonts w:asciiTheme="minorHAnsi" w:eastAsiaTheme="minorEastAsia" w:hAnsiTheme="minorHAnsi" w:cstheme="minorBidi"/>
              <w:noProof/>
              <w:lang w:eastAsia="es-MX"/>
            </w:rPr>
          </w:pPr>
          <w:hyperlink w:anchor="_Toc84235537" w:history="1">
            <w:r w:rsidR="00AB53F1" w:rsidRPr="00FD679E">
              <w:rPr>
                <w:rStyle w:val="Hipervnculo"/>
                <w:rFonts w:cstheme="minorHAnsi"/>
                <w:b/>
                <w:noProof/>
              </w:rPr>
              <w:t>14. Información por Segmentos:</w:t>
            </w:r>
            <w:r w:rsidR="00AB53F1">
              <w:rPr>
                <w:noProof/>
                <w:webHidden/>
              </w:rPr>
              <w:tab/>
            </w:r>
            <w:r w:rsidR="00AB53F1">
              <w:rPr>
                <w:noProof/>
                <w:webHidden/>
              </w:rPr>
              <w:fldChar w:fldCharType="begin"/>
            </w:r>
            <w:r w:rsidR="00AB53F1">
              <w:rPr>
                <w:noProof/>
                <w:webHidden/>
              </w:rPr>
              <w:instrText xml:space="preserve"> PAGEREF _Toc84235537 \h </w:instrText>
            </w:r>
            <w:r w:rsidR="00AB53F1">
              <w:rPr>
                <w:noProof/>
                <w:webHidden/>
              </w:rPr>
            </w:r>
            <w:r w:rsidR="00AB53F1">
              <w:rPr>
                <w:noProof/>
                <w:webHidden/>
              </w:rPr>
              <w:fldChar w:fldCharType="separate"/>
            </w:r>
            <w:r w:rsidR="00F73BB2">
              <w:rPr>
                <w:noProof/>
                <w:webHidden/>
              </w:rPr>
              <w:t>10</w:t>
            </w:r>
            <w:r w:rsidR="00AB53F1">
              <w:rPr>
                <w:noProof/>
                <w:webHidden/>
              </w:rPr>
              <w:fldChar w:fldCharType="end"/>
            </w:r>
          </w:hyperlink>
        </w:p>
        <w:p w14:paraId="0A119B41" w14:textId="0F3F1CEC" w:rsidR="00AB53F1" w:rsidRDefault="008B689A">
          <w:pPr>
            <w:pStyle w:val="TDC2"/>
            <w:tabs>
              <w:tab w:val="right" w:leader="dot" w:pos="9678"/>
            </w:tabs>
            <w:rPr>
              <w:rFonts w:asciiTheme="minorHAnsi" w:eastAsiaTheme="minorEastAsia" w:hAnsiTheme="minorHAnsi" w:cstheme="minorBidi"/>
              <w:noProof/>
              <w:lang w:eastAsia="es-MX"/>
            </w:rPr>
          </w:pPr>
          <w:hyperlink w:anchor="_Toc84235538" w:history="1">
            <w:r w:rsidR="00AB53F1" w:rsidRPr="00FD679E">
              <w:rPr>
                <w:rStyle w:val="Hipervnculo"/>
                <w:rFonts w:cstheme="minorHAnsi"/>
                <w:b/>
                <w:noProof/>
              </w:rPr>
              <w:t>15. Eventos Posteriores al Cierre:</w:t>
            </w:r>
            <w:r w:rsidR="00AB53F1">
              <w:rPr>
                <w:noProof/>
                <w:webHidden/>
              </w:rPr>
              <w:tab/>
            </w:r>
            <w:r w:rsidR="00AB53F1">
              <w:rPr>
                <w:noProof/>
                <w:webHidden/>
              </w:rPr>
              <w:fldChar w:fldCharType="begin"/>
            </w:r>
            <w:r w:rsidR="00AB53F1">
              <w:rPr>
                <w:noProof/>
                <w:webHidden/>
              </w:rPr>
              <w:instrText xml:space="preserve"> PAGEREF _Toc84235538 \h </w:instrText>
            </w:r>
            <w:r w:rsidR="00AB53F1">
              <w:rPr>
                <w:noProof/>
                <w:webHidden/>
              </w:rPr>
            </w:r>
            <w:r w:rsidR="00AB53F1">
              <w:rPr>
                <w:noProof/>
                <w:webHidden/>
              </w:rPr>
              <w:fldChar w:fldCharType="separate"/>
            </w:r>
            <w:r w:rsidR="00F73BB2">
              <w:rPr>
                <w:noProof/>
                <w:webHidden/>
              </w:rPr>
              <w:t>10</w:t>
            </w:r>
            <w:r w:rsidR="00AB53F1">
              <w:rPr>
                <w:noProof/>
                <w:webHidden/>
              </w:rPr>
              <w:fldChar w:fldCharType="end"/>
            </w:r>
          </w:hyperlink>
        </w:p>
        <w:p w14:paraId="607DD032" w14:textId="1369855C" w:rsidR="00AB53F1" w:rsidRDefault="008B689A">
          <w:pPr>
            <w:pStyle w:val="TDC2"/>
            <w:tabs>
              <w:tab w:val="right" w:leader="dot" w:pos="9678"/>
            </w:tabs>
            <w:rPr>
              <w:rFonts w:asciiTheme="minorHAnsi" w:eastAsiaTheme="minorEastAsia" w:hAnsiTheme="minorHAnsi" w:cstheme="minorBidi"/>
              <w:noProof/>
              <w:lang w:eastAsia="es-MX"/>
            </w:rPr>
          </w:pPr>
          <w:hyperlink w:anchor="_Toc84235539" w:history="1">
            <w:r w:rsidR="00AB53F1" w:rsidRPr="00FD679E">
              <w:rPr>
                <w:rStyle w:val="Hipervnculo"/>
                <w:rFonts w:cstheme="minorHAnsi"/>
                <w:b/>
                <w:noProof/>
              </w:rPr>
              <w:t>16. Partes Relacionadas:</w:t>
            </w:r>
            <w:r w:rsidR="00AB53F1">
              <w:rPr>
                <w:noProof/>
                <w:webHidden/>
              </w:rPr>
              <w:tab/>
            </w:r>
            <w:r w:rsidR="00AB53F1">
              <w:rPr>
                <w:noProof/>
                <w:webHidden/>
              </w:rPr>
              <w:fldChar w:fldCharType="begin"/>
            </w:r>
            <w:r w:rsidR="00AB53F1">
              <w:rPr>
                <w:noProof/>
                <w:webHidden/>
              </w:rPr>
              <w:instrText xml:space="preserve"> PAGEREF _Toc84235539 \h </w:instrText>
            </w:r>
            <w:r w:rsidR="00AB53F1">
              <w:rPr>
                <w:noProof/>
                <w:webHidden/>
              </w:rPr>
            </w:r>
            <w:r w:rsidR="00AB53F1">
              <w:rPr>
                <w:noProof/>
                <w:webHidden/>
              </w:rPr>
              <w:fldChar w:fldCharType="separate"/>
            </w:r>
            <w:r w:rsidR="00F73BB2">
              <w:rPr>
                <w:noProof/>
                <w:webHidden/>
              </w:rPr>
              <w:t>10</w:t>
            </w:r>
            <w:r w:rsidR="00AB53F1">
              <w:rPr>
                <w:noProof/>
                <w:webHidden/>
              </w:rPr>
              <w:fldChar w:fldCharType="end"/>
            </w:r>
          </w:hyperlink>
        </w:p>
        <w:p w14:paraId="55A90839" w14:textId="43AB08EF" w:rsidR="00AB53F1" w:rsidRDefault="008B689A">
          <w:pPr>
            <w:pStyle w:val="TDC2"/>
            <w:tabs>
              <w:tab w:val="right" w:leader="dot" w:pos="9678"/>
            </w:tabs>
            <w:rPr>
              <w:rFonts w:asciiTheme="minorHAnsi" w:eastAsiaTheme="minorEastAsia" w:hAnsiTheme="minorHAnsi" w:cstheme="minorBidi"/>
              <w:noProof/>
              <w:lang w:eastAsia="es-MX"/>
            </w:rPr>
          </w:pPr>
          <w:hyperlink w:anchor="_Toc84235540" w:history="1">
            <w:r w:rsidR="00AB53F1" w:rsidRPr="00FD679E">
              <w:rPr>
                <w:rStyle w:val="Hipervnculo"/>
                <w:rFonts w:cstheme="minorHAnsi"/>
                <w:b/>
                <w:noProof/>
              </w:rPr>
              <w:t>17. Responsabilidad Sobre la Presentación Razonable de la Información Contable:</w:t>
            </w:r>
            <w:r w:rsidR="00AB53F1">
              <w:rPr>
                <w:noProof/>
                <w:webHidden/>
              </w:rPr>
              <w:tab/>
            </w:r>
            <w:r w:rsidR="00AB53F1">
              <w:rPr>
                <w:noProof/>
                <w:webHidden/>
              </w:rPr>
              <w:fldChar w:fldCharType="begin"/>
            </w:r>
            <w:r w:rsidR="00AB53F1">
              <w:rPr>
                <w:noProof/>
                <w:webHidden/>
              </w:rPr>
              <w:instrText xml:space="preserve"> PAGEREF _Toc84235540 \h </w:instrText>
            </w:r>
            <w:r w:rsidR="00AB53F1">
              <w:rPr>
                <w:noProof/>
                <w:webHidden/>
              </w:rPr>
            </w:r>
            <w:r w:rsidR="00AB53F1">
              <w:rPr>
                <w:noProof/>
                <w:webHidden/>
              </w:rPr>
              <w:fldChar w:fldCharType="separate"/>
            </w:r>
            <w:r w:rsidR="00F73BB2">
              <w:rPr>
                <w:noProof/>
                <w:webHidden/>
              </w:rPr>
              <w:t>10</w:t>
            </w:r>
            <w:r w:rsidR="00AB53F1">
              <w:rPr>
                <w:noProof/>
                <w:webHidden/>
              </w:rPr>
              <w:fldChar w:fldCharType="end"/>
            </w:r>
          </w:hyperlink>
        </w:p>
        <w:p w14:paraId="43551857" w14:textId="50AD486D"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84235525"/>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6D2A5992" w14:textId="77777777" w:rsidR="0074332C" w:rsidRPr="00E7588A" w:rsidRDefault="0074332C" w:rsidP="0074332C">
      <w:pPr>
        <w:rPr>
          <w:rFonts w:ascii="Arial" w:hAnsi="Arial" w:cs="Arial"/>
          <w:sz w:val="20"/>
          <w:szCs w:val="20"/>
          <w:u w:val="single"/>
        </w:rPr>
      </w:pPr>
      <w:r>
        <w:rPr>
          <w:rFonts w:ascii="Arial" w:hAnsi="Arial" w:cs="Arial"/>
          <w:sz w:val="20"/>
          <w:szCs w:val="20"/>
          <w:u w:val="single"/>
        </w:rPr>
        <w:t>La prestación del Servicio de Agua Potable y alcantarillado, drenaje, tratamiento y disposición de las aguas residuales y tratadas.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84235526"/>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48A648C9" w14:textId="77777777" w:rsidR="002E71E7" w:rsidRDefault="002E71E7" w:rsidP="00CB41C4">
      <w:pPr>
        <w:tabs>
          <w:tab w:val="left" w:leader="underscore" w:pos="9639"/>
        </w:tabs>
        <w:spacing w:after="0" w:line="240" w:lineRule="auto"/>
        <w:jc w:val="both"/>
      </w:pPr>
    </w:p>
    <w:p w14:paraId="5F83F705" w14:textId="77777777" w:rsidR="00F46A6F" w:rsidRDefault="002E71E7" w:rsidP="00CB41C4">
      <w:pPr>
        <w:tabs>
          <w:tab w:val="left" w:leader="underscore" w:pos="9639"/>
        </w:tabs>
        <w:spacing w:after="0" w:line="240" w:lineRule="auto"/>
        <w:jc w:val="both"/>
        <w:rPr>
          <w:u w:val="single"/>
        </w:rPr>
      </w:pPr>
      <w:r w:rsidRPr="002E71E7">
        <w:rPr>
          <w:u w:val="single"/>
        </w:rPr>
        <w:t xml:space="preserve">En 2019 la economía global mostró una desaceleración sincronizada resultado, en gran medida, del surgimiento y de la permanencia de tensiones comerciales, principalmente entre Estados Unidos y China, así como de la existencia de distintos conflictos geopolíticos. El Fondo Monetario Internacional (FMI) revisó a la baja sus pronósticos de crecimiento mundial en prácticamente todas las actualizaciones trimestrales del reporte de Perspectivas de la Economía Mundial. En su última revisión, la tasa de crecimiento mundial estimada para 2019 fue de 2.9%, el crecimiento más bajo desde la crisis financiera de 2008. En esta desaceleración se observó un deterioro en todos los países, tanto de la inversión como de la producción industrial, en particular la manufacturera. Hacia finales de 2019 y principios de 2020, el balance de riesgos cambió de manera positiva, principalmente por la conclusión exitosa de las negociaciones de la “fase 1” de un acuerdo comercial entre China y Estados Unidos. En este contexto, en su reporte sobre las Perspectivas de la Economía Mundial de enero de 2020, el FMI anticipó un repunte de las actividades manufacturera y comercial durante este año. </w:t>
      </w:r>
    </w:p>
    <w:p w14:paraId="29069FBB" w14:textId="77777777" w:rsidR="00F46A6F" w:rsidRDefault="00F46A6F" w:rsidP="00CB41C4">
      <w:pPr>
        <w:tabs>
          <w:tab w:val="left" w:leader="underscore" w:pos="9639"/>
        </w:tabs>
        <w:spacing w:after="0" w:line="240" w:lineRule="auto"/>
        <w:jc w:val="both"/>
        <w:rPr>
          <w:u w:val="single"/>
        </w:rPr>
      </w:pPr>
    </w:p>
    <w:p w14:paraId="41ED578C" w14:textId="77777777" w:rsidR="00F46A6F" w:rsidRDefault="002E71E7" w:rsidP="00CB41C4">
      <w:pPr>
        <w:tabs>
          <w:tab w:val="left" w:leader="underscore" w:pos="9639"/>
        </w:tabs>
        <w:spacing w:after="0" w:line="240" w:lineRule="auto"/>
        <w:jc w:val="both"/>
        <w:rPr>
          <w:u w:val="single"/>
        </w:rPr>
      </w:pPr>
      <w:r w:rsidRPr="002E71E7">
        <w:rPr>
          <w:u w:val="single"/>
        </w:rPr>
        <w:t xml:space="preserve">No obstante, durante los primeros meses de 2020 el entorno de la economía mundial ha presentado cambios importantes como resultado del surgimiento del brote epidémico denominado COVID-19 y su transformación en una pandemia global. Adicional a la pérdida de vidas humanas, la pandemia ha generado en diversos países retos importantes de salud pública. Las medidas sanitarias necesarias para mitigarla han tenido importantes repercusiones sobre la actividad económica, principalmente en los países afectados, aunque su efecto se ha extendido a todos los países a través de los precios de las materias primas, los mercados financieros, la menor demanda mundial y la incertidumbre sobre los efectos que tendrá en el crecimiento global. En este contexto, las proyecciones de la actividad económica global han estado sujetas a una constante revisión a la baja en un tiempo muy reducido. Así, entre el 5 y el 23 de marzo, el Instituto de Finanzas Internacionales (IIF, por sus siglas en inglés) recortó el crecimiento global de 1.0% a una contracción de 1.5%. </w:t>
      </w:r>
    </w:p>
    <w:p w14:paraId="5EC09741" w14:textId="77777777" w:rsidR="00F46A6F" w:rsidRDefault="00F46A6F" w:rsidP="00CB41C4">
      <w:pPr>
        <w:tabs>
          <w:tab w:val="left" w:leader="underscore" w:pos="9639"/>
        </w:tabs>
        <w:spacing w:after="0" w:line="240" w:lineRule="auto"/>
        <w:jc w:val="both"/>
        <w:rPr>
          <w:u w:val="single"/>
        </w:rPr>
      </w:pPr>
    </w:p>
    <w:p w14:paraId="67F80FDF" w14:textId="49445D6A" w:rsidR="007D1E76" w:rsidRDefault="002E71E7" w:rsidP="00CB41C4">
      <w:pPr>
        <w:tabs>
          <w:tab w:val="left" w:leader="underscore" w:pos="9639"/>
        </w:tabs>
        <w:spacing w:after="0" w:line="240" w:lineRule="auto"/>
        <w:jc w:val="both"/>
        <w:rPr>
          <w:u w:val="single"/>
        </w:rPr>
      </w:pPr>
      <w:r w:rsidRPr="002E71E7">
        <w:rPr>
          <w:u w:val="single"/>
        </w:rPr>
        <w:t>Los precios internacionales del petróleo exhibieron una elevada volatilidad en 2019 resultado, principalmente, de la evolución de las tensiones comerciales y de la existencia de conflictos geopolíticos. Al cierre del año, estos precios mostraron una recuperación moderada, impulsada por incrementos en los recortes de la Organización de Países Exportadores de Petróleo (OPEP) y sus aliados y por el alivio de las tensiones comerciales. No obstante, en 2020, la mayor incertidumbre y las perspectivas de un menor crecimiento resultado de la propagación del COVID-19, propiciaron una caída en los precios del petróleo. En este contexto, las negociaciones entre la OPEP y sus aliados se vieron frustradas, lo que inició una guerra de precios entre Arabia Saudita y Rusia, generando reducciones adicionales en el precio del crudo.</w:t>
      </w:r>
    </w:p>
    <w:p w14:paraId="5E3401E8" w14:textId="1D777A19" w:rsidR="002E71E7" w:rsidRDefault="002E71E7" w:rsidP="00CB41C4">
      <w:pPr>
        <w:tabs>
          <w:tab w:val="left" w:leader="underscore" w:pos="9639"/>
        </w:tabs>
        <w:spacing w:after="0" w:line="240" w:lineRule="auto"/>
        <w:jc w:val="both"/>
        <w:rPr>
          <w:u w:val="single"/>
        </w:rPr>
      </w:pPr>
    </w:p>
    <w:p w14:paraId="0B93D0A0" w14:textId="40B73ECD" w:rsidR="00F46A6F" w:rsidRDefault="00F46A6F" w:rsidP="00CB41C4">
      <w:pPr>
        <w:tabs>
          <w:tab w:val="left" w:leader="underscore" w:pos="9639"/>
        </w:tabs>
        <w:spacing w:after="0" w:line="240" w:lineRule="auto"/>
        <w:jc w:val="both"/>
        <w:rPr>
          <w:u w:val="single"/>
        </w:rPr>
      </w:pPr>
    </w:p>
    <w:p w14:paraId="266F73D1" w14:textId="55D75DAF" w:rsidR="008412A5" w:rsidRDefault="002E71E7" w:rsidP="00CB41C4">
      <w:pPr>
        <w:tabs>
          <w:tab w:val="left" w:leader="underscore" w:pos="9639"/>
        </w:tabs>
        <w:spacing w:after="0" w:line="240" w:lineRule="auto"/>
        <w:jc w:val="both"/>
        <w:rPr>
          <w:b/>
          <w:bCs/>
          <w:u w:val="single"/>
        </w:rPr>
      </w:pPr>
      <w:r w:rsidRPr="008412A5">
        <w:rPr>
          <w:b/>
          <w:bCs/>
          <w:u w:val="single"/>
        </w:rPr>
        <w:t xml:space="preserve">Impacto del COVID-19 sobre la economía </w:t>
      </w:r>
    </w:p>
    <w:p w14:paraId="4231E94D" w14:textId="77777777" w:rsidR="00D74717" w:rsidRPr="008412A5" w:rsidRDefault="00D74717" w:rsidP="00CB41C4">
      <w:pPr>
        <w:tabs>
          <w:tab w:val="left" w:leader="underscore" w:pos="9639"/>
        </w:tabs>
        <w:spacing w:after="0" w:line="240" w:lineRule="auto"/>
        <w:jc w:val="both"/>
        <w:rPr>
          <w:b/>
          <w:bCs/>
          <w:u w:val="single"/>
        </w:rPr>
      </w:pPr>
    </w:p>
    <w:p w14:paraId="4A160EA0" w14:textId="77777777" w:rsidR="00F46A6F" w:rsidRDefault="002E71E7" w:rsidP="00CB41C4">
      <w:pPr>
        <w:tabs>
          <w:tab w:val="left" w:leader="underscore" w:pos="9639"/>
        </w:tabs>
        <w:spacing w:after="0" w:line="240" w:lineRule="auto"/>
        <w:jc w:val="both"/>
        <w:rPr>
          <w:u w:val="single"/>
        </w:rPr>
      </w:pPr>
      <w:r w:rsidRPr="008412A5">
        <w:rPr>
          <w:u w:val="single"/>
        </w:rPr>
        <w:t>La pandemia del COVID-19 representa uno de los principales riesgos sobre la perspectiva económica de 2020. El 31 de diciembre de 2019, la Organización Mundial de la Salud (OMS) recibió un reporte de las autoridades chinas de varios pacientes en la ciudad de Wuhan, provincia de Hubei, con una neumonía provocada por un virus no identificado. Este virus fue detectado el 12 de enero de 2020 por la OMS y pese a los esfuerzos de contención en China, los cuales incluyeron la cancelación de las celebraciones por el Año Nuevo Lunar y varias ciudades en cuarentena, al 30 de enero de 2020 el número de pacientes infectados ascendía a 9,692, de los cuales 98 casos se presentaron en 18 países fuera de China. Debido a su rápida propagación a nivel global, el 11 de marzo, la OMS declaró oficialmente al COVID-19 como una pandemia. Con información al 27 de marzo, existe un total de 593,291 casos confirmados en 175 países, con una tasa de mortalidad estimada en 4.6%.</w:t>
      </w:r>
    </w:p>
    <w:p w14:paraId="56E71F3E" w14:textId="77777777" w:rsidR="00F46A6F" w:rsidRDefault="00F46A6F" w:rsidP="00CB41C4">
      <w:pPr>
        <w:tabs>
          <w:tab w:val="left" w:leader="underscore" w:pos="9639"/>
        </w:tabs>
        <w:spacing w:after="0" w:line="240" w:lineRule="auto"/>
        <w:jc w:val="both"/>
        <w:rPr>
          <w:u w:val="single"/>
        </w:rPr>
      </w:pPr>
    </w:p>
    <w:p w14:paraId="2871D9C7" w14:textId="7BA677D8" w:rsidR="002E71E7" w:rsidRDefault="002E71E7" w:rsidP="00CB41C4">
      <w:pPr>
        <w:tabs>
          <w:tab w:val="left" w:leader="underscore" w:pos="9639"/>
        </w:tabs>
        <w:spacing w:after="0" w:line="240" w:lineRule="auto"/>
        <w:jc w:val="both"/>
        <w:rPr>
          <w:u w:val="single"/>
        </w:rPr>
      </w:pPr>
      <w:r w:rsidRPr="008412A5">
        <w:rPr>
          <w:u w:val="single"/>
        </w:rPr>
        <w:t>La rápida propagación del COVID-19 ha llevado a los gobiernos a implementar medidas de distanciamiento social voluntarias, recomendadas o forzosas con base en el escenario de transmisión en el que se encuentra cada país. Las regiones con mayor número de contagios han tomado medidas más drásticas, las cuales incluyen el cierre de fronteras, la suspensión de actividades académicas y laborales, la prohibición de la libre circulación y reunión de sus ciudadanos, y el cese de toda actividad comercial no esencial. Dichas medidas de contención, aunque necesarias, tendrán un efecto negativo en la actividad económica mundial al detener de manera simultánea tanto la oferta como la demanda. Por el lado de la oferta, el cese de actividades laborales afecta tanto a las cadenas de suministros como de producción, y en consecuencia, las industrias, lo que tendrá efectos negativos sobre las cadenas globales de valor y el comercio exterior. Ante una menor demanda debido a las medidas de restricción de movilidad, el sector servicios se verá severamente impactado.</w:t>
      </w:r>
    </w:p>
    <w:p w14:paraId="3C509002" w14:textId="79B15DFC" w:rsidR="00F46A6F" w:rsidRDefault="00F46A6F" w:rsidP="00CB41C4">
      <w:pPr>
        <w:tabs>
          <w:tab w:val="left" w:leader="underscore" w:pos="9639"/>
        </w:tabs>
        <w:spacing w:after="0" w:line="240" w:lineRule="auto"/>
        <w:jc w:val="both"/>
        <w:rPr>
          <w:u w:val="single"/>
        </w:rPr>
      </w:pPr>
    </w:p>
    <w:p w14:paraId="246F94C5" w14:textId="6AA7AF76" w:rsidR="00F46A6F" w:rsidRDefault="00F46A6F" w:rsidP="00CB41C4">
      <w:pPr>
        <w:tabs>
          <w:tab w:val="left" w:leader="underscore" w:pos="9639"/>
        </w:tabs>
        <w:spacing w:after="0" w:line="240" w:lineRule="auto"/>
        <w:jc w:val="both"/>
        <w:rPr>
          <w:u w:val="single"/>
        </w:rPr>
      </w:pPr>
      <w:r w:rsidRPr="00F46A6F">
        <w:rPr>
          <w:u w:val="single"/>
        </w:rPr>
        <w:t>En la medida en que las acciones de contención y mitigación de la pandemia sean efectivas, los choques sobre la economía, aunque serán fuertes, tendrán una menor duración. De lo contrario, los efectos adversos sobre la economía podrían tener una mayor duración y un impacto más severo.</w:t>
      </w:r>
    </w:p>
    <w:p w14:paraId="489EB64B" w14:textId="0BC42BF3" w:rsidR="008412A5" w:rsidRDefault="008412A5" w:rsidP="00CB41C4">
      <w:pPr>
        <w:tabs>
          <w:tab w:val="left" w:leader="underscore" w:pos="9639"/>
        </w:tabs>
        <w:spacing w:after="0" w:line="240" w:lineRule="auto"/>
        <w:jc w:val="both"/>
        <w:rPr>
          <w:u w:val="single"/>
        </w:rPr>
      </w:pPr>
    </w:p>
    <w:p w14:paraId="7FD6AE70" w14:textId="5C3EB870" w:rsidR="008412A5" w:rsidRDefault="008B689A" w:rsidP="00CB41C4">
      <w:pPr>
        <w:tabs>
          <w:tab w:val="left" w:leader="underscore" w:pos="9639"/>
        </w:tabs>
        <w:spacing w:after="0" w:line="240" w:lineRule="auto"/>
        <w:jc w:val="both"/>
        <w:rPr>
          <w:rFonts w:cs="Calibri"/>
          <w:u w:val="single"/>
        </w:rPr>
      </w:pPr>
      <w:hyperlink r:id="rId12" w:history="1">
        <w:r w:rsidR="00F46A6F" w:rsidRPr="00712763">
          <w:rPr>
            <w:rStyle w:val="Hipervnculo"/>
            <w:rFonts w:cs="Calibri"/>
          </w:rPr>
          <w:t>https://www.finanzaspublicas.hacienda.gob.mx/work/models/Finanzas_Publicas/docs/paquete_economico/precgpe/precgpe_2021.pdf</w:t>
        </w:r>
      </w:hyperlink>
    </w:p>
    <w:p w14:paraId="3285DC0B" w14:textId="0910743E" w:rsidR="007D1E76" w:rsidRDefault="007D1E76" w:rsidP="00CB41C4">
      <w:pPr>
        <w:tabs>
          <w:tab w:val="left" w:leader="underscore" w:pos="9639"/>
        </w:tabs>
        <w:spacing w:after="0" w:line="240" w:lineRule="auto"/>
        <w:jc w:val="both"/>
        <w:rPr>
          <w:rFonts w:cs="Calibri"/>
        </w:rPr>
      </w:pPr>
    </w:p>
    <w:p w14:paraId="1B2A7592" w14:textId="77777777" w:rsidR="00F46A6F" w:rsidRDefault="00F46A6F" w:rsidP="00CB41C4">
      <w:pPr>
        <w:tabs>
          <w:tab w:val="left" w:leader="underscore" w:pos="9639"/>
        </w:tabs>
        <w:spacing w:after="0" w:line="240" w:lineRule="auto"/>
        <w:jc w:val="both"/>
        <w:rPr>
          <w:u w:val="single"/>
        </w:rPr>
      </w:pPr>
      <w:r w:rsidRPr="00F46A6F">
        <w:rPr>
          <w:u w:val="single"/>
        </w:rPr>
        <w:t xml:space="preserve">Más sin embargo el Organismo Operador en el momento de la elaboración y proyección del presupuesto 2021 está ubicada en números negros y sin pasivos que no puedan solventarse de manera inmediata, por lo que actualmente no se cuenta con Deuda. </w:t>
      </w:r>
    </w:p>
    <w:p w14:paraId="1275E293" w14:textId="77777777" w:rsidR="00F46A6F" w:rsidRDefault="00F46A6F" w:rsidP="00CB41C4">
      <w:pPr>
        <w:tabs>
          <w:tab w:val="left" w:leader="underscore" w:pos="9639"/>
        </w:tabs>
        <w:spacing w:after="0" w:line="240" w:lineRule="auto"/>
        <w:jc w:val="both"/>
        <w:rPr>
          <w:u w:val="single"/>
        </w:rPr>
      </w:pPr>
    </w:p>
    <w:p w14:paraId="57482AB1" w14:textId="4F81D52D" w:rsidR="00F46A6F" w:rsidRDefault="00F46A6F" w:rsidP="00CB41C4">
      <w:pPr>
        <w:tabs>
          <w:tab w:val="left" w:leader="underscore" w:pos="9639"/>
        </w:tabs>
        <w:spacing w:after="0" w:line="240" w:lineRule="auto"/>
        <w:jc w:val="both"/>
        <w:rPr>
          <w:u w:val="single"/>
        </w:rPr>
      </w:pPr>
      <w:r w:rsidRPr="00F46A6F">
        <w:rPr>
          <w:u w:val="single"/>
        </w:rPr>
        <w:t>La presente Proyección de Presupuesto de Egresos establece contribuciones ajustadas a la realidad económica del País con incrementos de un 10 % en la mayoría de los rubros Gastos considerando el índice inflacionario, así como en el Rubro de Servicios Personales se consideró las modificaciones al Contrato Colectivo de Trabajo, así como incrementos a los empleados de acuerdo al análisis realizado por la Dirección General y Administrativa.</w:t>
      </w:r>
    </w:p>
    <w:p w14:paraId="42DC0CE5" w14:textId="77777777" w:rsidR="00F46A6F" w:rsidRPr="00F46A6F" w:rsidRDefault="00F46A6F" w:rsidP="00CB41C4">
      <w:pPr>
        <w:tabs>
          <w:tab w:val="left" w:leader="underscore" w:pos="9639"/>
        </w:tabs>
        <w:spacing w:after="0" w:line="240" w:lineRule="auto"/>
        <w:jc w:val="both"/>
        <w:rPr>
          <w:u w:val="single"/>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84235527"/>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52785BC7" w14:textId="77777777" w:rsidR="0074332C" w:rsidRPr="00E61462" w:rsidRDefault="0074332C" w:rsidP="0074332C">
      <w:pPr>
        <w:rPr>
          <w:rFonts w:ascii="Arial" w:hAnsi="Arial" w:cs="Arial"/>
          <w:sz w:val="20"/>
          <w:szCs w:val="20"/>
          <w:u w:val="single"/>
        </w:rPr>
      </w:pPr>
      <w:r>
        <w:rPr>
          <w:rFonts w:ascii="Arial" w:hAnsi="Arial" w:cs="Arial"/>
          <w:sz w:val="20"/>
          <w:szCs w:val="20"/>
          <w:u w:val="single"/>
        </w:rPr>
        <w:t>06 de Enero de 1984.</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CA63120" w14:textId="77777777" w:rsidR="0074332C" w:rsidRPr="00E74967" w:rsidRDefault="0074332C" w:rsidP="0074332C">
      <w:pPr>
        <w:tabs>
          <w:tab w:val="left" w:leader="underscore" w:pos="9639"/>
        </w:tabs>
        <w:spacing w:after="0" w:line="240" w:lineRule="auto"/>
        <w:jc w:val="both"/>
        <w:rPr>
          <w:rFonts w:cs="Calibri"/>
        </w:rPr>
      </w:pPr>
    </w:p>
    <w:tbl>
      <w:tblPr>
        <w:tblW w:w="10165" w:type="dxa"/>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348"/>
        <w:gridCol w:w="69"/>
        <w:gridCol w:w="1279"/>
        <w:gridCol w:w="139"/>
        <w:gridCol w:w="1209"/>
        <w:gridCol w:w="208"/>
        <w:gridCol w:w="1140"/>
        <w:gridCol w:w="278"/>
        <w:gridCol w:w="1070"/>
        <w:gridCol w:w="388"/>
        <w:gridCol w:w="1689"/>
      </w:tblGrid>
      <w:tr w:rsidR="00F46A6F" w:rsidRPr="00E056CB" w14:paraId="2304607E" w14:textId="77777777" w:rsidTr="00F46A6F">
        <w:trPr>
          <w:trHeight w:val="64"/>
        </w:trPr>
        <w:tc>
          <w:tcPr>
            <w:tcW w:w="1348" w:type="dxa"/>
          </w:tcPr>
          <w:p w14:paraId="3EB79754" w14:textId="77777777" w:rsidR="00F46A6F" w:rsidRPr="00E056CB" w:rsidRDefault="00F46A6F" w:rsidP="004A31CF">
            <w:pPr>
              <w:widowControl w:val="0"/>
              <w:autoSpaceDE w:val="0"/>
              <w:autoSpaceDN w:val="0"/>
              <w:adjustRightInd w:val="0"/>
              <w:contextualSpacing/>
              <w:jc w:val="center"/>
              <w:rPr>
                <w:rFonts w:ascii="Arial" w:hAnsi="Arial" w:cs="Arial"/>
                <w:b/>
                <w:sz w:val="16"/>
                <w:szCs w:val="10"/>
              </w:rPr>
            </w:pPr>
            <w:r w:rsidRPr="00E056CB">
              <w:rPr>
                <w:rFonts w:ascii="Arial" w:hAnsi="Arial" w:cs="Arial"/>
                <w:b/>
                <w:sz w:val="16"/>
                <w:szCs w:val="10"/>
              </w:rPr>
              <w:t>1988-1991</w:t>
            </w:r>
          </w:p>
        </w:tc>
        <w:tc>
          <w:tcPr>
            <w:tcW w:w="1417" w:type="dxa"/>
            <w:gridSpan w:val="2"/>
          </w:tcPr>
          <w:p w14:paraId="2435515A" w14:textId="431541E7" w:rsidR="00F46A6F" w:rsidRPr="00E056CB" w:rsidRDefault="00F46A6F" w:rsidP="00F46A6F">
            <w:pPr>
              <w:widowControl w:val="0"/>
              <w:autoSpaceDE w:val="0"/>
              <w:autoSpaceDN w:val="0"/>
              <w:adjustRightInd w:val="0"/>
              <w:contextualSpacing/>
              <w:rPr>
                <w:rFonts w:ascii="Arial" w:hAnsi="Arial" w:cs="Arial"/>
                <w:b/>
                <w:sz w:val="16"/>
                <w:szCs w:val="10"/>
              </w:rPr>
            </w:pPr>
            <w:r>
              <w:rPr>
                <w:rFonts w:ascii="Arial" w:hAnsi="Arial" w:cs="Arial"/>
                <w:b/>
                <w:sz w:val="16"/>
                <w:szCs w:val="10"/>
              </w:rPr>
              <w:t xml:space="preserve">      </w:t>
            </w:r>
            <w:r w:rsidRPr="00E056CB">
              <w:rPr>
                <w:rFonts w:ascii="Arial" w:hAnsi="Arial" w:cs="Arial"/>
                <w:b/>
                <w:sz w:val="16"/>
                <w:szCs w:val="10"/>
              </w:rPr>
              <w:t>1992-2002</w:t>
            </w:r>
          </w:p>
        </w:tc>
        <w:tc>
          <w:tcPr>
            <w:tcW w:w="1418" w:type="dxa"/>
            <w:gridSpan w:val="2"/>
          </w:tcPr>
          <w:p w14:paraId="2C7EA963" w14:textId="77777777" w:rsidR="00F46A6F" w:rsidRPr="00E056CB" w:rsidRDefault="00F46A6F" w:rsidP="004A31CF">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2003</w:t>
            </w:r>
          </w:p>
        </w:tc>
        <w:tc>
          <w:tcPr>
            <w:tcW w:w="1417" w:type="dxa"/>
            <w:gridSpan w:val="2"/>
          </w:tcPr>
          <w:p w14:paraId="1234FD94" w14:textId="77777777" w:rsidR="00F46A6F" w:rsidRPr="00E056CB" w:rsidRDefault="00F46A6F" w:rsidP="004A31CF">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2004</w:t>
            </w:r>
          </w:p>
        </w:tc>
        <w:tc>
          <w:tcPr>
            <w:tcW w:w="1418" w:type="dxa"/>
            <w:gridSpan w:val="2"/>
          </w:tcPr>
          <w:p w14:paraId="15F0DC9A" w14:textId="2EEBD304" w:rsidR="00F46A6F" w:rsidRPr="00E056CB" w:rsidRDefault="00F46A6F" w:rsidP="004A31CF">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2005</w:t>
            </w:r>
          </w:p>
        </w:tc>
        <w:tc>
          <w:tcPr>
            <w:tcW w:w="1458" w:type="dxa"/>
            <w:gridSpan w:val="2"/>
          </w:tcPr>
          <w:p w14:paraId="544BBE82" w14:textId="77777777" w:rsidR="00F46A6F" w:rsidRPr="00E056CB" w:rsidRDefault="00F46A6F" w:rsidP="004A31CF">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2006</w:t>
            </w:r>
          </w:p>
        </w:tc>
        <w:tc>
          <w:tcPr>
            <w:tcW w:w="1689" w:type="dxa"/>
          </w:tcPr>
          <w:p w14:paraId="78D874C3" w14:textId="77777777" w:rsidR="00F46A6F" w:rsidRPr="00E056CB" w:rsidRDefault="00F46A6F" w:rsidP="004A31CF">
            <w:pPr>
              <w:widowControl w:val="0"/>
              <w:autoSpaceDE w:val="0"/>
              <w:autoSpaceDN w:val="0"/>
              <w:adjustRightInd w:val="0"/>
              <w:contextualSpacing/>
              <w:jc w:val="center"/>
              <w:rPr>
                <w:rFonts w:ascii="Arial" w:hAnsi="Arial" w:cs="Arial"/>
                <w:b/>
                <w:sz w:val="16"/>
                <w:szCs w:val="10"/>
              </w:rPr>
            </w:pPr>
            <w:r w:rsidRPr="00E056CB">
              <w:rPr>
                <w:rFonts w:ascii="Arial" w:hAnsi="Arial" w:cs="Arial"/>
                <w:b/>
                <w:sz w:val="16"/>
                <w:szCs w:val="10"/>
              </w:rPr>
              <w:t>2007</w:t>
            </w:r>
          </w:p>
        </w:tc>
      </w:tr>
      <w:tr w:rsidR="00F46A6F" w:rsidRPr="00E056CB" w14:paraId="100551B3" w14:textId="77777777" w:rsidTr="00F46A6F">
        <w:trPr>
          <w:trHeight w:val="259"/>
        </w:trPr>
        <w:tc>
          <w:tcPr>
            <w:tcW w:w="1348" w:type="dxa"/>
          </w:tcPr>
          <w:p w14:paraId="79F67ACA"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7FD1A059"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 VOCAL EJECUTIVO</w:t>
            </w:r>
          </w:p>
          <w:p w14:paraId="28017809"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 DIRECTORES</w:t>
            </w:r>
          </w:p>
          <w:p w14:paraId="5B66B4EE"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8 DEPARTAMENTOS </w:t>
            </w:r>
          </w:p>
        </w:tc>
        <w:tc>
          <w:tcPr>
            <w:tcW w:w="1417" w:type="dxa"/>
            <w:gridSpan w:val="2"/>
          </w:tcPr>
          <w:p w14:paraId="0E37E921"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11F7423A"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4 DIRECTORES </w:t>
            </w:r>
          </w:p>
          <w:p w14:paraId="55B45721"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23 DEPARTAMENTOS </w:t>
            </w:r>
          </w:p>
          <w:p w14:paraId="027F5F57" w14:textId="77777777" w:rsidR="00F46A6F" w:rsidRPr="00E056CB" w:rsidRDefault="00F46A6F" w:rsidP="004A31CF">
            <w:pPr>
              <w:widowControl w:val="0"/>
              <w:autoSpaceDE w:val="0"/>
              <w:autoSpaceDN w:val="0"/>
              <w:adjustRightInd w:val="0"/>
              <w:ind w:left="720"/>
              <w:contextualSpacing/>
              <w:rPr>
                <w:rFonts w:ascii="Arial" w:hAnsi="Arial" w:cs="Arial"/>
                <w:sz w:val="10"/>
                <w:szCs w:val="10"/>
              </w:rPr>
            </w:pPr>
          </w:p>
        </w:tc>
        <w:tc>
          <w:tcPr>
            <w:tcW w:w="1418" w:type="dxa"/>
            <w:gridSpan w:val="2"/>
          </w:tcPr>
          <w:p w14:paraId="6B79319E"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23717044"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4 DIRECTORES</w:t>
            </w:r>
          </w:p>
          <w:p w14:paraId="51ECA077"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8 GERENCIAS</w:t>
            </w:r>
          </w:p>
          <w:p w14:paraId="7DD4E52B"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 xml:space="preserve">30 DEPARTAMENTOS </w:t>
            </w:r>
          </w:p>
        </w:tc>
        <w:tc>
          <w:tcPr>
            <w:tcW w:w="1417" w:type="dxa"/>
            <w:gridSpan w:val="2"/>
          </w:tcPr>
          <w:p w14:paraId="6B68B10F"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2A5D71D4"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5DE4A2B6"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12 GERENCIAS</w:t>
            </w:r>
          </w:p>
          <w:p w14:paraId="27431203"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30 DEPARTAMENTOS</w:t>
            </w:r>
          </w:p>
        </w:tc>
        <w:tc>
          <w:tcPr>
            <w:tcW w:w="1418" w:type="dxa"/>
            <w:gridSpan w:val="2"/>
          </w:tcPr>
          <w:p w14:paraId="5316B429" w14:textId="4C69E783"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290A7624"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1163167A"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12 GERENCIAS</w:t>
            </w:r>
          </w:p>
          <w:p w14:paraId="2162002B"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31 DEPARTAMENTOS</w:t>
            </w:r>
          </w:p>
        </w:tc>
        <w:tc>
          <w:tcPr>
            <w:tcW w:w="1458" w:type="dxa"/>
            <w:gridSpan w:val="2"/>
          </w:tcPr>
          <w:p w14:paraId="47AD2DCA"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59C272C0"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13B91DD3"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12 GERENCIAS</w:t>
            </w:r>
          </w:p>
          <w:p w14:paraId="3FB9D49C"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32 DEPARTAMENTOS</w:t>
            </w:r>
          </w:p>
        </w:tc>
        <w:tc>
          <w:tcPr>
            <w:tcW w:w="1689" w:type="dxa"/>
          </w:tcPr>
          <w:p w14:paraId="571E3DE9"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3E39FA4C"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5144099A"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3A314A8A"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30 DEPARTAMENTOS</w:t>
            </w:r>
          </w:p>
        </w:tc>
      </w:tr>
      <w:tr w:rsidR="00F46A6F" w:rsidRPr="00E056CB" w14:paraId="3BDAAB87" w14:textId="77777777" w:rsidTr="00F46A6F">
        <w:trPr>
          <w:trHeight w:val="59"/>
        </w:trPr>
        <w:tc>
          <w:tcPr>
            <w:tcW w:w="1348" w:type="dxa"/>
          </w:tcPr>
          <w:p w14:paraId="371BF108" w14:textId="77777777" w:rsidR="00F46A6F" w:rsidRPr="00E056CB" w:rsidRDefault="00F46A6F" w:rsidP="004A31CF">
            <w:pPr>
              <w:widowControl w:val="0"/>
              <w:autoSpaceDE w:val="0"/>
              <w:autoSpaceDN w:val="0"/>
              <w:adjustRightInd w:val="0"/>
              <w:ind w:left="720"/>
              <w:contextualSpacing/>
              <w:rPr>
                <w:rFonts w:ascii="Arial" w:hAnsi="Arial" w:cs="Arial"/>
                <w:b/>
                <w:sz w:val="16"/>
                <w:szCs w:val="10"/>
              </w:rPr>
            </w:pPr>
            <w:r>
              <w:rPr>
                <w:rFonts w:ascii="Arial" w:hAnsi="Arial" w:cs="Arial"/>
                <w:b/>
                <w:sz w:val="16"/>
                <w:szCs w:val="10"/>
              </w:rPr>
              <w:t>2008</w:t>
            </w:r>
          </w:p>
        </w:tc>
        <w:tc>
          <w:tcPr>
            <w:tcW w:w="1417" w:type="dxa"/>
            <w:gridSpan w:val="2"/>
          </w:tcPr>
          <w:p w14:paraId="45FA91CE" w14:textId="77777777" w:rsidR="00F46A6F" w:rsidRPr="00E056CB" w:rsidRDefault="00F46A6F" w:rsidP="004A31CF">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2009</w:t>
            </w:r>
          </w:p>
        </w:tc>
        <w:tc>
          <w:tcPr>
            <w:tcW w:w="1418" w:type="dxa"/>
            <w:gridSpan w:val="2"/>
          </w:tcPr>
          <w:p w14:paraId="38B853C5" w14:textId="77777777" w:rsidR="00F46A6F" w:rsidRPr="00E056CB" w:rsidRDefault="00F46A6F" w:rsidP="004A31CF">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2010</w:t>
            </w:r>
          </w:p>
        </w:tc>
        <w:tc>
          <w:tcPr>
            <w:tcW w:w="1417" w:type="dxa"/>
            <w:gridSpan w:val="2"/>
          </w:tcPr>
          <w:p w14:paraId="12726E6E" w14:textId="77777777" w:rsidR="00F46A6F" w:rsidRPr="00E056CB" w:rsidRDefault="00F46A6F" w:rsidP="004A31CF">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2011</w:t>
            </w:r>
          </w:p>
        </w:tc>
        <w:tc>
          <w:tcPr>
            <w:tcW w:w="1418" w:type="dxa"/>
            <w:gridSpan w:val="2"/>
          </w:tcPr>
          <w:p w14:paraId="4B033ED6" w14:textId="528C5CB9" w:rsidR="00F46A6F" w:rsidRPr="00E056CB" w:rsidRDefault="00F46A6F" w:rsidP="004A31CF">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2012</w:t>
            </w:r>
          </w:p>
        </w:tc>
        <w:tc>
          <w:tcPr>
            <w:tcW w:w="1458" w:type="dxa"/>
            <w:gridSpan w:val="2"/>
          </w:tcPr>
          <w:p w14:paraId="568E7F84" w14:textId="77777777" w:rsidR="00F46A6F" w:rsidRPr="00E056CB" w:rsidRDefault="00F46A6F" w:rsidP="004A31CF">
            <w:pPr>
              <w:widowControl w:val="0"/>
              <w:autoSpaceDE w:val="0"/>
              <w:autoSpaceDN w:val="0"/>
              <w:adjustRightInd w:val="0"/>
              <w:ind w:left="720"/>
              <w:contextualSpacing/>
              <w:jc w:val="center"/>
              <w:rPr>
                <w:rFonts w:ascii="Arial" w:hAnsi="Arial" w:cs="Arial"/>
                <w:b/>
                <w:sz w:val="16"/>
                <w:szCs w:val="10"/>
              </w:rPr>
            </w:pPr>
            <w:r w:rsidRPr="00E056CB">
              <w:rPr>
                <w:rFonts w:ascii="Arial" w:hAnsi="Arial" w:cs="Arial"/>
                <w:b/>
                <w:sz w:val="16"/>
                <w:szCs w:val="10"/>
              </w:rPr>
              <w:t>201</w:t>
            </w:r>
            <w:r>
              <w:rPr>
                <w:rFonts w:ascii="Arial" w:hAnsi="Arial" w:cs="Arial"/>
                <w:b/>
                <w:sz w:val="16"/>
                <w:szCs w:val="10"/>
              </w:rPr>
              <w:t>3</w:t>
            </w:r>
          </w:p>
        </w:tc>
        <w:tc>
          <w:tcPr>
            <w:tcW w:w="1689" w:type="dxa"/>
          </w:tcPr>
          <w:p w14:paraId="33BEDABF" w14:textId="4A4409D4" w:rsidR="00F46A6F" w:rsidRPr="00E056CB" w:rsidRDefault="00F46A6F" w:rsidP="00F46A6F">
            <w:pPr>
              <w:widowControl w:val="0"/>
              <w:autoSpaceDE w:val="0"/>
              <w:autoSpaceDN w:val="0"/>
              <w:adjustRightInd w:val="0"/>
              <w:contextualSpacing/>
              <w:rPr>
                <w:rFonts w:ascii="Arial" w:hAnsi="Arial" w:cs="Arial"/>
                <w:b/>
                <w:sz w:val="16"/>
                <w:szCs w:val="10"/>
              </w:rPr>
            </w:pPr>
            <w:r>
              <w:rPr>
                <w:rFonts w:ascii="Arial" w:hAnsi="Arial" w:cs="Arial"/>
                <w:b/>
                <w:sz w:val="16"/>
                <w:szCs w:val="10"/>
              </w:rPr>
              <w:t xml:space="preserve">       </w:t>
            </w:r>
            <w:r w:rsidRPr="00E056CB">
              <w:rPr>
                <w:rFonts w:ascii="Arial" w:hAnsi="Arial" w:cs="Arial"/>
                <w:b/>
                <w:sz w:val="16"/>
                <w:szCs w:val="10"/>
              </w:rPr>
              <w:t>201</w:t>
            </w:r>
            <w:r>
              <w:rPr>
                <w:rFonts w:ascii="Arial" w:hAnsi="Arial" w:cs="Arial"/>
                <w:b/>
                <w:sz w:val="16"/>
                <w:szCs w:val="10"/>
              </w:rPr>
              <w:t>4 – 2015</w:t>
            </w:r>
          </w:p>
        </w:tc>
      </w:tr>
      <w:tr w:rsidR="00F46A6F" w:rsidRPr="00E056CB" w14:paraId="5BB1799A" w14:textId="77777777" w:rsidTr="00F46A6F">
        <w:trPr>
          <w:trHeight w:val="103"/>
        </w:trPr>
        <w:tc>
          <w:tcPr>
            <w:tcW w:w="1348" w:type="dxa"/>
          </w:tcPr>
          <w:p w14:paraId="4EF32139"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604E76F9"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5    DIRECTORES</w:t>
            </w:r>
          </w:p>
          <w:p w14:paraId="3D37248B"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0781CC87"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31 DEPARTAMENTOS</w:t>
            </w:r>
          </w:p>
        </w:tc>
        <w:tc>
          <w:tcPr>
            <w:tcW w:w="1417" w:type="dxa"/>
            <w:gridSpan w:val="2"/>
          </w:tcPr>
          <w:p w14:paraId="19901D54"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48C1E187"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50F5D2DB"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01A6FB19"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29 DEPARTAMENTOS</w:t>
            </w:r>
          </w:p>
        </w:tc>
        <w:tc>
          <w:tcPr>
            <w:tcW w:w="1418" w:type="dxa"/>
            <w:gridSpan w:val="2"/>
          </w:tcPr>
          <w:p w14:paraId="7DFB91E5"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3718F7A7"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53E1919E"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14  GERENCIAS</w:t>
            </w:r>
          </w:p>
          <w:p w14:paraId="0F9C2CF9"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29 DEPARTAMENTOS</w:t>
            </w:r>
          </w:p>
        </w:tc>
        <w:tc>
          <w:tcPr>
            <w:tcW w:w="1417" w:type="dxa"/>
            <w:gridSpan w:val="2"/>
          </w:tcPr>
          <w:p w14:paraId="75760660"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4BDF7A60"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5766851F"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10 GERENCIAS</w:t>
            </w:r>
          </w:p>
          <w:p w14:paraId="130DE4B6"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25 DEPARTAMENTOS</w:t>
            </w:r>
          </w:p>
        </w:tc>
        <w:tc>
          <w:tcPr>
            <w:tcW w:w="1418" w:type="dxa"/>
            <w:gridSpan w:val="2"/>
          </w:tcPr>
          <w:p w14:paraId="170BC38E" w14:textId="148D0C36"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CONSEJO DIRECTIVO</w:t>
            </w:r>
          </w:p>
          <w:p w14:paraId="3959E339"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6  DIRECTORES</w:t>
            </w:r>
          </w:p>
          <w:p w14:paraId="486EC3DE"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10 GERENCIAS</w:t>
            </w:r>
          </w:p>
          <w:p w14:paraId="5C5D0466"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E056CB">
              <w:rPr>
                <w:rFonts w:ascii="Arial" w:hAnsi="Arial" w:cs="Arial"/>
                <w:sz w:val="10"/>
                <w:szCs w:val="10"/>
              </w:rPr>
              <w:t>25 DEPARTAMENTOS</w:t>
            </w:r>
          </w:p>
        </w:tc>
        <w:tc>
          <w:tcPr>
            <w:tcW w:w="1458" w:type="dxa"/>
            <w:gridSpan w:val="2"/>
          </w:tcPr>
          <w:p w14:paraId="777E9458" w14:textId="77777777" w:rsidR="00F46A6F" w:rsidRPr="00494586" w:rsidRDefault="00F46A6F" w:rsidP="004A31CF">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4E0DE543" w14:textId="77777777" w:rsidR="00F46A6F" w:rsidRPr="00494586" w:rsidRDefault="00F46A6F" w:rsidP="004A31CF">
            <w:pPr>
              <w:widowControl w:val="0"/>
              <w:autoSpaceDE w:val="0"/>
              <w:autoSpaceDN w:val="0"/>
              <w:adjustRightInd w:val="0"/>
              <w:contextualSpacing/>
              <w:rPr>
                <w:rFonts w:ascii="Arial" w:hAnsi="Arial" w:cs="Arial"/>
                <w:color w:val="000000"/>
                <w:sz w:val="10"/>
                <w:szCs w:val="10"/>
              </w:rPr>
            </w:pPr>
            <w:r>
              <w:rPr>
                <w:rFonts w:ascii="Arial" w:hAnsi="Arial" w:cs="Arial"/>
                <w:color w:val="000000"/>
                <w:sz w:val="10"/>
                <w:szCs w:val="10"/>
              </w:rPr>
              <w:t>8</w:t>
            </w:r>
            <w:r w:rsidRPr="00494586">
              <w:rPr>
                <w:rFonts w:ascii="Arial" w:hAnsi="Arial" w:cs="Arial"/>
                <w:color w:val="000000"/>
                <w:sz w:val="10"/>
                <w:szCs w:val="10"/>
              </w:rPr>
              <w:t xml:space="preserve">  DIRECTORES</w:t>
            </w:r>
          </w:p>
          <w:p w14:paraId="06210765" w14:textId="77777777" w:rsidR="00F46A6F" w:rsidRPr="00494586" w:rsidRDefault="00F46A6F" w:rsidP="004A31CF">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11 GERENCIAS</w:t>
            </w:r>
          </w:p>
          <w:p w14:paraId="3C256F2E" w14:textId="77777777" w:rsidR="00F46A6F" w:rsidRPr="00E056CB" w:rsidRDefault="00F46A6F" w:rsidP="004A31CF">
            <w:pPr>
              <w:widowControl w:val="0"/>
              <w:autoSpaceDE w:val="0"/>
              <w:autoSpaceDN w:val="0"/>
              <w:adjustRightInd w:val="0"/>
              <w:contextualSpacing/>
              <w:rPr>
                <w:rFonts w:ascii="Arial" w:hAnsi="Arial" w:cs="Arial"/>
                <w:sz w:val="10"/>
                <w:szCs w:val="10"/>
              </w:rPr>
            </w:pPr>
            <w:r w:rsidRPr="00494586">
              <w:rPr>
                <w:rFonts w:ascii="Arial" w:hAnsi="Arial" w:cs="Arial"/>
                <w:color w:val="000000"/>
                <w:sz w:val="10"/>
                <w:szCs w:val="10"/>
              </w:rPr>
              <w:t>22 DEPARTAMENTOS</w:t>
            </w:r>
          </w:p>
        </w:tc>
        <w:tc>
          <w:tcPr>
            <w:tcW w:w="1689" w:type="dxa"/>
          </w:tcPr>
          <w:p w14:paraId="0327081D" w14:textId="77777777" w:rsidR="00F46A6F" w:rsidRPr="00494586" w:rsidRDefault="00F46A6F" w:rsidP="004A31CF">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0B6EF031" w14:textId="77777777" w:rsidR="00F46A6F" w:rsidRPr="00494586" w:rsidRDefault="00F46A6F" w:rsidP="004A31CF">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8 </w:t>
            </w:r>
            <w:r w:rsidRPr="00494586">
              <w:rPr>
                <w:rFonts w:ascii="Arial" w:hAnsi="Arial" w:cs="Arial"/>
                <w:color w:val="000000"/>
                <w:sz w:val="10"/>
                <w:szCs w:val="10"/>
              </w:rPr>
              <w:t xml:space="preserve"> DIRECTORES</w:t>
            </w:r>
          </w:p>
          <w:p w14:paraId="3A014F5C" w14:textId="77777777" w:rsidR="00F46A6F" w:rsidRPr="00494586" w:rsidRDefault="00F46A6F" w:rsidP="004A31CF">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1</w:t>
            </w:r>
            <w:r w:rsidRPr="00494586">
              <w:rPr>
                <w:rFonts w:ascii="Arial" w:hAnsi="Arial" w:cs="Arial"/>
                <w:color w:val="000000"/>
                <w:sz w:val="10"/>
                <w:szCs w:val="10"/>
              </w:rPr>
              <w:t xml:space="preserve"> GERENCIAS</w:t>
            </w:r>
          </w:p>
          <w:p w14:paraId="5F4E58CC" w14:textId="77777777" w:rsidR="00F46A6F" w:rsidRPr="00E056CB" w:rsidRDefault="00F46A6F" w:rsidP="004A31CF">
            <w:pPr>
              <w:widowControl w:val="0"/>
              <w:autoSpaceDE w:val="0"/>
              <w:autoSpaceDN w:val="0"/>
              <w:adjustRightInd w:val="0"/>
              <w:contextualSpacing/>
              <w:rPr>
                <w:rFonts w:ascii="Arial" w:hAnsi="Arial" w:cs="Arial"/>
                <w:sz w:val="10"/>
                <w:szCs w:val="10"/>
              </w:rPr>
            </w:pPr>
            <w:r>
              <w:rPr>
                <w:rFonts w:ascii="Arial" w:hAnsi="Arial" w:cs="Arial"/>
                <w:color w:val="000000"/>
                <w:sz w:val="10"/>
                <w:szCs w:val="10"/>
              </w:rPr>
              <w:t>23</w:t>
            </w:r>
            <w:r w:rsidRPr="00494586">
              <w:rPr>
                <w:rFonts w:ascii="Arial" w:hAnsi="Arial" w:cs="Arial"/>
                <w:color w:val="000000"/>
                <w:sz w:val="10"/>
                <w:szCs w:val="10"/>
              </w:rPr>
              <w:t xml:space="preserve"> DEPARTAMENTOS</w:t>
            </w:r>
          </w:p>
        </w:tc>
      </w:tr>
      <w:tr w:rsidR="0074332C" w:rsidRPr="00E056CB" w14:paraId="4507279D" w14:textId="4459E75A" w:rsidTr="00F46A6F">
        <w:trPr>
          <w:gridAfter w:val="2"/>
          <w:wAfter w:w="2077" w:type="dxa"/>
          <w:trHeight w:val="59"/>
        </w:trPr>
        <w:tc>
          <w:tcPr>
            <w:tcW w:w="1348" w:type="dxa"/>
          </w:tcPr>
          <w:p w14:paraId="4292ED93" w14:textId="77777777" w:rsidR="0074332C" w:rsidRPr="00E056CB" w:rsidRDefault="0074332C" w:rsidP="004A31CF">
            <w:pPr>
              <w:widowControl w:val="0"/>
              <w:autoSpaceDE w:val="0"/>
              <w:autoSpaceDN w:val="0"/>
              <w:adjustRightInd w:val="0"/>
              <w:ind w:left="720"/>
              <w:contextualSpacing/>
              <w:jc w:val="center"/>
              <w:rPr>
                <w:rFonts w:ascii="Arial" w:hAnsi="Arial" w:cs="Arial"/>
                <w:b/>
                <w:sz w:val="16"/>
                <w:szCs w:val="10"/>
              </w:rPr>
            </w:pPr>
            <w:r>
              <w:rPr>
                <w:rFonts w:ascii="Arial" w:hAnsi="Arial" w:cs="Arial"/>
                <w:b/>
                <w:sz w:val="16"/>
                <w:szCs w:val="10"/>
              </w:rPr>
              <w:t>2016</w:t>
            </w:r>
          </w:p>
        </w:tc>
        <w:tc>
          <w:tcPr>
            <w:tcW w:w="1348" w:type="dxa"/>
          </w:tcPr>
          <w:p w14:paraId="19B0F812" w14:textId="77777777" w:rsidR="0074332C" w:rsidRPr="00E056CB" w:rsidRDefault="0074332C" w:rsidP="004A31CF">
            <w:pPr>
              <w:widowControl w:val="0"/>
              <w:autoSpaceDE w:val="0"/>
              <w:autoSpaceDN w:val="0"/>
              <w:adjustRightInd w:val="0"/>
              <w:ind w:left="720"/>
              <w:contextualSpacing/>
              <w:jc w:val="center"/>
              <w:rPr>
                <w:rFonts w:ascii="Arial" w:hAnsi="Arial" w:cs="Arial"/>
                <w:b/>
                <w:sz w:val="16"/>
                <w:szCs w:val="10"/>
              </w:rPr>
            </w:pPr>
            <w:r>
              <w:rPr>
                <w:rFonts w:ascii="Arial" w:hAnsi="Arial" w:cs="Arial"/>
                <w:b/>
                <w:sz w:val="16"/>
                <w:szCs w:val="10"/>
              </w:rPr>
              <w:t>2017</w:t>
            </w:r>
          </w:p>
        </w:tc>
        <w:tc>
          <w:tcPr>
            <w:tcW w:w="1348" w:type="dxa"/>
            <w:gridSpan w:val="2"/>
          </w:tcPr>
          <w:p w14:paraId="352991F2" w14:textId="77777777" w:rsidR="0074332C" w:rsidRPr="00E056CB" w:rsidRDefault="0074332C" w:rsidP="004A31CF">
            <w:pPr>
              <w:spacing w:after="0" w:line="240" w:lineRule="auto"/>
              <w:jc w:val="right"/>
            </w:pPr>
            <w:r>
              <w:rPr>
                <w:rFonts w:ascii="Arial" w:hAnsi="Arial" w:cs="Arial"/>
                <w:b/>
                <w:sz w:val="16"/>
                <w:szCs w:val="10"/>
              </w:rPr>
              <w:t>2018</w:t>
            </w:r>
          </w:p>
        </w:tc>
        <w:tc>
          <w:tcPr>
            <w:tcW w:w="1348" w:type="dxa"/>
            <w:gridSpan w:val="2"/>
          </w:tcPr>
          <w:p w14:paraId="16D0CEBA" w14:textId="77777777" w:rsidR="0074332C" w:rsidRPr="00E056CB" w:rsidRDefault="0074332C" w:rsidP="004A31CF">
            <w:pPr>
              <w:spacing w:after="0" w:line="240" w:lineRule="auto"/>
              <w:jc w:val="right"/>
            </w:pPr>
            <w:r>
              <w:rPr>
                <w:rFonts w:ascii="Arial" w:hAnsi="Arial" w:cs="Arial"/>
                <w:b/>
                <w:sz w:val="16"/>
                <w:szCs w:val="10"/>
              </w:rPr>
              <w:t>2019</w:t>
            </w:r>
          </w:p>
        </w:tc>
        <w:tc>
          <w:tcPr>
            <w:tcW w:w="1348" w:type="dxa"/>
            <w:gridSpan w:val="2"/>
          </w:tcPr>
          <w:p w14:paraId="639778EE" w14:textId="77777777" w:rsidR="0074332C" w:rsidRPr="00E056CB" w:rsidRDefault="0074332C" w:rsidP="004A31CF">
            <w:pPr>
              <w:spacing w:after="0" w:line="240" w:lineRule="auto"/>
              <w:jc w:val="both"/>
            </w:pPr>
            <w:r>
              <w:rPr>
                <w:rFonts w:ascii="Arial" w:hAnsi="Arial" w:cs="Arial"/>
                <w:b/>
                <w:sz w:val="16"/>
                <w:szCs w:val="10"/>
              </w:rPr>
              <w:t xml:space="preserve">                 2020</w:t>
            </w:r>
          </w:p>
        </w:tc>
        <w:tc>
          <w:tcPr>
            <w:tcW w:w="1348" w:type="dxa"/>
            <w:gridSpan w:val="2"/>
          </w:tcPr>
          <w:p w14:paraId="480D37CC" w14:textId="04A366D4" w:rsidR="0074332C" w:rsidRDefault="0074332C" w:rsidP="0074332C">
            <w:pPr>
              <w:spacing w:after="0" w:line="240" w:lineRule="auto"/>
              <w:jc w:val="right"/>
              <w:rPr>
                <w:rFonts w:ascii="Arial" w:hAnsi="Arial" w:cs="Arial"/>
                <w:b/>
                <w:sz w:val="16"/>
                <w:szCs w:val="10"/>
              </w:rPr>
            </w:pPr>
            <w:r>
              <w:rPr>
                <w:rFonts w:ascii="Arial" w:hAnsi="Arial" w:cs="Arial"/>
                <w:b/>
                <w:sz w:val="16"/>
                <w:szCs w:val="10"/>
              </w:rPr>
              <w:t>2021</w:t>
            </w:r>
          </w:p>
        </w:tc>
      </w:tr>
      <w:tr w:rsidR="0074332C" w:rsidRPr="00E056CB" w14:paraId="28E9CA3B" w14:textId="3E225E42" w:rsidTr="00F46A6F">
        <w:trPr>
          <w:gridAfter w:val="2"/>
          <w:wAfter w:w="2077" w:type="dxa"/>
          <w:trHeight w:val="710"/>
        </w:trPr>
        <w:tc>
          <w:tcPr>
            <w:tcW w:w="1348" w:type="dxa"/>
          </w:tcPr>
          <w:p w14:paraId="3E87941E" w14:textId="77777777" w:rsidR="0074332C" w:rsidRPr="00494586" w:rsidRDefault="0074332C" w:rsidP="0074332C">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724A13D1" w14:textId="77777777" w:rsidR="0074332C" w:rsidRPr="00494586" w:rsidRDefault="0074332C" w:rsidP="0074332C">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1EE73FB9" w14:textId="77777777" w:rsidR="0074332C" w:rsidRPr="00494586" w:rsidRDefault="0074332C" w:rsidP="0074332C">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28846D5B" w14:textId="77777777" w:rsidR="0074332C" w:rsidRPr="00E056CB" w:rsidRDefault="0074332C" w:rsidP="0074332C">
            <w:pPr>
              <w:widowControl w:val="0"/>
              <w:autoSpaceDE w:val="0"/>
              <w:autoSpaceDN w:val="0"/>
              <w:adjustRightInd w:val="0"/>
              <w:contextualSpacing/>
              <w:rPr>
                <w:rFonts w:ascii="Arial" w:hAnsi="Arial" w:cs="Arial"/>
                <w:sz w:val="10"/>
                <w:szCs w:val="10"/>
              </w:rPr>
            </w:pPr>
            <w:r>
              <w:rPr>
                <w:rFonts w:ascii="Arial" w:hAnsi="Arial" w:cs="Arial"/>
                <w:color w:val="000000"/>
                <w:sz w:val="10"/>
                <w:szCs w:val="10"/>
              </w:rPr>
              <w:t>19</w:t>
            </w:r>
            <w:r w:rsidRPr="00494586">
              <w:rPr>
                <w:rFonts w:ascii="Arial" w:hAnsi="Arial" w:cs="Arial"/>
                <w:color w:val="000000"/>
                <w:sz w:val="10"/>
                <w:szCs w:val="10"/>
              </w:rPr>
              <w:t xml:space="preserve"> DEPARTAMENTOS</w:t>
            </w:r>
          </w:p>
        </w:tc>
        <w:tc>
          <w:tcPr>
            <w:tcW w:w="1348" w:type="dxa"/>
          </w:tcPr>
          <w:p w14:paraId="7B640B08" w14:textId="77777777" w:rsidR="0074332C" w:rsidRPr="00494586" w:rsidRDefault="0074332C" w:rsidP="0074332C">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48081CFB" w14:textId="77777777" w:rsidR="0074332C" w:rsidRPr="00494586" w:rsidRDefault="0074332C" w:rsidP="0074332C">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7A4C9263" w14:textId="77777777" w:rsidR="0074332C" w:rsidRPr="00494586" w:rsidRDefault="0074332C" w:rsidP="0074332C">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6698CB8F" w14:textId="77777777" w:rsidR="0074332C" w:rsidRPr="00E056CB" w:rsidRDefault="0074332C" w:rsidP="0074332C">
            <w:pPr>
              <w:widowControl w:val="0"/>
              <w:autoSpaceDE w:val="0"/>
              <w:autoSpaceDN w:val="0"/>
              <w:adjustRightInd w:val="0"/>
              <w:contextualSpacing/>
              <w:rPr>
                <w:rFonts w:ascii="Arial" w:hAnsi="Arial" w:cs="Arial"/>
                <w:sz w:val="10"/>
                <w:szCs w:val="10"/>
              </w:rPr>
            </w:pPr>
            <w:r>
              <w:rPr>
                <w:rFonts w:ascii="Arial" w:hAnsi="Arial" w:cs="Arial"/>
                <w:color w:val="000000"/>
                <w:sz w:val="10"/>
                <w:szCs w:val="10"/>
              </w:rPr>
              <w:t>19</w:t>
            </w:r>
            <w:r w:rsidRPr="00494586">
              <w:rPr>
                <w:rFonts w:ascii="Arial" w:hAnsi="Arial" w:cs="Arial"/>
                <w:color w:val="000000"/>
                <w:sz w:val="10"/>
                <w:szCs w:val="10"/>
              </w:rPr>
              <w:t xml:space="preserve"> DEPARTAMENTOS</w:t>
            </w:r>
          </w:p>
        </w:tc>
        <w:tc>
          <w:tcPr>
            <w:tcW w:w="1348" w:type="dxa"/>
            <w:gridSpan w:val="2"/>
          </w:tcPr>
          <w:p w14:paraId="0EC626DC" w14:textId="77777777" w:rsidR="0074332C" w:rsidRPr="00494586" w:rsidRDefault="0074332C" w:rsidP="0074332C">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62CD8DB4" w14:textId="77777777" w:rsidR="0074332C" w:rsidRPr="00494586" w:rsidRDefault="0074332C" w:rsidP="0074332C">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02C20CAF" w14:textId="77777777" w:rsidR="0074332C" w:rsidRPr="00494586" w:rsidRDefault="0074332C" w:rsidP="0074332C">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696D4454" w14:textId="77777777" w:rsidR="0074332C" w:rsidRDefault="0074332C" w:rsidP="0074332C">
            <w:pPr>
              <w:spacing w:after="0" w:line="240" w:lineRule="auto"/>
              <w:rPr>
                <w:rFonts w:ascii="Arial" w:hAnsi="Arial" w:cs="Arial"/>
                <w:color w:val="000000"/>
                <w:sz w:val="10"/>
                <w:szCs w:val="10"/>
              </w:rPr>
            </w:pPr>
            <w:r>
              <w:rPr>
                <w:rFonts w:ascii="Arial" w:hAnsi="Arial" w:cs="Arial"/>
                <w:color w:val="000000"/>
                <w:sz w:val="10"/>
                <w:szCs w:val="10"/>
              </w:rPr>
              <w:t>28</w:t>
            </w:r>
            <w:r w:rsidRPr="00494586">
              <w:rPr>
                <w:rFonts w:ascii="Arial" w:hAnsi="Arial" w:cs="Arial"/>
                <w:color w:val="000000"/>
                <w:sz w:val="10"/>
                <w:szCs w:val="10"/>
              </w:rPr>
              <w:t xml:space="preserve"> DEPARTAMENTOS</w:t>
            </w:r>
          </w:p>
          <w:p w14:paraId="1FE3318C" w14:textId="77777777" w:rsidR="0074332C" w:rsidRPr="00E056CB" w:rsidRDefault="0074332C" w:rsidP="0074332C">
            <w:pPr>
              <w:spacing w:after="0" w:line="240" w:lineRule="auto"/>
            </w:pPr>
            <w:r>
              <w:rPr>
                <w:rFonts w:ascii="Arial" w:hAnsi="Arial" w:cs="Arial"/>
                <w:color w:val="000000"/>
                <w:sz w:val="10"/>
                <w:szCs w:val="10"/>
              </w:rPr>
              <w:t>1 CONTRALORIA INTERNA</w:t>
            </w:r>
          </w:p>
        </w:tc>
        <w:tc>
          <w:tcPr>
            <w:tcW w:w="1348" w:type="dxa"/>
            <w:gridSpan w:val="2"/>
          </w:tcPr>
          <w:p w14:paraId="69F088F8" w14:textId="77777777" w:rsidR="0074332C" w:rsidRPr="00494586" w:rsidRDefault="0074332C" w:rsidP="0074332C">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4BC38C60" w14:textId="77777777" w:rsidR="0074332C" w:rsidRPr="00494586" w:rsidRDefault="0074332C" w:rsidP="0074332C">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27ED2980" w14:textId="77777777" w:rsidR="0074332C" w:rsidRPr="00494586" w:rsidRDefault="0074332C" w:rsidP="0074332C">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505DD92F" w14:textId="77777777" w:rsidR="0074332C" w:rsidRDefault="0074332C" w:rsidP="0074332C">
            <w:pPr>
              <w:spacing w:after="0" w:line="240" w:lineRule="auto"/>
              <w:rPr>
                <w:rFonts w:ascii="Arial" w:hAnsi="Arial" w:cs="Arial"/>
                <w:color w:val="000000"/>
                <w:sz w:val="10"/>
                <w:szCs w:val="10"/>
              </w:rPr>
            </w:pPr>
            <w:r>
              <w:rPr>
                <w:rFonts w:ascii="Arial" w:hAnsi="Arial" w:cs="Arial"/>
                <w:color w:val="000000"/>
                <w:sz w:val="10"/>
                <w:szCs w:val="10"/>
              </w:rPr>
              <w:t>28</w:t>
            </w:r>
            <w:r w:rsidRPr="00494586">
              <w:rPr>
                <w:rFonts w:ascii="Arial" w:hAnsi="Arial" w:cs="Arial"/>
                <w:color w:val="000000"/>
                <w:sz w:val="10"/>
                <w:szCs w:val="10"/>
              </w:rPr>
              <w:t xml:space="preserve"> DEPARTAMENTOS</w:t>
            </w:r>
          </w:p>
          <w:p w14:paraId="3B61B711" w14:textId="77777777" w:rsidR="0074332C" w:rsidRPr="00E056CB" w:rsidRDefault="0074332C" w:rsidP="0074332C">
            <w:pPr>
              <w:spacing w:after="0" w:line="240" w:lineRule="auto"/>
            </w:pPr>
            <w:r>
              <w:rPr>
                <w:rFonts w:ascii="Arial" w:hAnsi="Arial" w:cs="Arial"/>
                <w:color w:val="000000"/>
                <w:sz w:val="10"/>
                <w:szCs w:val="10"/>
              </w:rPr>
              <w:t>1 CONTRALORIA INTERNA</w:t>
            </w:r>
          </w:p>
        </w:tc>
        <w:tc>
          <w:tcPr>
            <w:tcW w:w="1348" w:type="dxa"/>
            <w:gridSpan w:val="2"/>
          </w:tcPr>
          <w:p w14:paraId="2EB8DC98" w14:textId="77777777" w:rsidR="0074332C" w:rsidRPr="00494586" w:rsidRDefault="0074332C" w:rsidP="0074332C">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04F38FC2" w14:textId="77777777" w:rsidR="0074332C" w:rsidRPr="00494586" w:rsidRDefault="0074332C" w:rsidP="0074332C">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0EDEC578" w14:textId="77777777" w:rsidR="0074332C" w:rsidRPr="00494586" w:rsidRDefault="0074332C" w:rsidP="0074332C">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1</w:t>
            </w:r>
            <w:r>
              <w:rPr>
                <w:rFonts w:ascii="Arial" w:hAnsi="Arial" w:cs="Arial"/>
                <w:color w:val="000000"/>
                <w:sz w:val="10"/>
                <w:szCs w:val="10"/>
              </w:rPr>
              <w:t>0</w:t>
            </w:r>
            <w:r w:rsidRPr="00494586">
              <w:rPr>
                <w:rFonts w:ascii="Arial" w:hAnsi="Arial" w:cs="Arial"/>
                <w:color w:val="000000"/>
                <w:sz w:val="10"/>
                <w:szCs w:val="10"/>
              </w:rPr>
              <w:t xml:space="preserve"> GERENCIAS</w:t>
            </w:r>
          </w:p>
          <w:p w14:paraId="134A44B8" w14:textId="77777777" w:rsidR="0074332C" w:rsidRDefault="0074332C" w:rsidP="0074332C">
            <w:pPr>
              <w:spacing w:after="0" w:line="240" w:lineRule="auto"/>
              <w:rPr>
                <w:rFonts w:ascii="Arial" w:hAnsi="Arial" w:cs="Arial"/>
                <w:color w:val="000000"/>
                <w:sz w:val="10"/>
                <w:szCs w:val="10"/>
              </w:rPr>
            </w:pPr>
            <w:r>
              <w:rPr>
                <w:rFonts w:ascii="Arial" w:hAnsi="Arial" w:cs="Arial"/>
                <w:color w:val="000000"/>
                <w:sz w:val="10"/>
                <w:szCs w:val="10"/>
              </w:rPr>
              <w:t>28</w:t>
            </w:r>
            <w:r w:rsidRPr="00494586">
              <w:rPr>
                <w:rFonts w:ascii="Arial" w:hAnsi="Arial" w:cs="Arial"/>
                <w:color w:val="000000"/>
                <w:sz w:val="10"/>
                <w:szCs w:val="10"/>
              </w:rPr>
              <w:t xml:space="preserve"> DEPARTAMENTOS</w:t>
            </w:r>
          </w:p>
          <w:p w14:paraId="233AFC32" w14:textId="77777777" w:rsidR="0074332C" w:rsidRPr="00E056CB" w:rsidRDefault="0074332C" w:rsidP="0074332C">
            <w:pPr>
              <w:spacing w:after="0" w:line="240" w:lineRule="auto"/>
            </w:pPr>
            <w:r>
              <w:rPr>
                <w:rFonts w:ascii="Arial" w:hAnsi="Arial" w:cs="Arial"/>
                <w:color w:val="000000"/>
                <w:sz w:val="10"/>
                <w:szCs w:val="10"/>
              </w:rPr>
              <w:t>1 CONTRALORIA INTERNA</w:t>
            </w:r>
          </w:p>
        </w:tc>
        <w:tc>
          <w:tcPr>
            <w:tcW w:w="1348" w:type="dxa"/>
            <w:gridSpan w:val="2"/>
          </w:tcPr>
          <w:p w14:paraId="7CA77C0D" w14:textId="77777777" w:rsidR="0074332C" w:rsidRPr="00494586" w:rsidRDefault="0074332C" w:rsidP="0074332C">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CONSEJO DIRECTIVO</w:t>
            </w:r>
          </w:p>
          <w:p w14:paraId="404EF76F" w14:textId="158B6DB2" w:rsidR="0074332C" w:rsidRPr="00494586" w:rsidRDefault="0074332C" w:rsidP="0074332C">
            <w:pPr>
              <w:widowControl w:val="0"/>
              <w:autoSpaceDE w:val="0"/>
              <w:autoSpaceDN w:val="0"/>
              <w:adjustRightInd w:val="0"/>
              <w:contextualSpacing/>
              <w:rPr>
                <w:rFonts w:ascii="Arial" w:hAnsi="Arial" w:cs="Arial"/>
                <w:color w:val="000000"/>
                <w:sz w:val="10"/>
                <w:szCs w:val="10"/>
              </w:rPr>
            </w:pPr>
            <w:r w:rsidRPr="00494586">
              <w:rPr>
                <w:rFonts w:ascii="Arial" w:hAnsi="Arial" w:cs="Arial"/>
                <w:color w:val="000000"/>
                <w:sz w:val="10"/>
                <w:szCs w:val="10"/>
              </w:rPr>
              <w:t xml:space="preserve">  </w:t>
            </w:r>
            <w:r>
              <w:rPr>
                <w:rFonts w:ascii="Arial" w:hAnsi="Arial" w:cs="Arial"/>
                <w:color w:val="000000"/>
                <w:sz w:val="10"/>
                <w:szCs w:val="10"/>
              </w:rPr>
              <w:t xml:space="preserve">9 </w:t>
            </w:r>
            <w:r w:rsidRPr="00494586">
              <w:rPr>
                <w:rFonts w:ascii="Arial" w:hAnsi="Arial" w:cs="Arial"/>
                <w:color w:val="000000"/>
                <w:sz w:val="10"/>
                <w:szCs w:val="10"/>
              </w:rPr>
              <w:t>DIRECTORES</w:t>
            </w:r>
          </w:p>
          <w:p w14:paraId="307728C7" w14:textId="47530809" w:rsidR="0074332C" w:rsidRPr="00494586" w:rsidRDefault="0074332C" w:rsidP="0074332C">
            <w:pPr>
              <w:widowControl w:val="0"/>
              <w:autoSpaceDE w:val="0"/>
              <w:autoSpaceDN w:val="0"/>
              <w:adjustRightInd w:val="0"/>
              <w:contextualSpacing/>
              <w:rPr>
                <w:rFonts w:ascii="Arial" w:hAnsi="Arial" w:cs="Arial"/>
                <w:color w:val="000000"/>
                <w:sz w:val="10"/>
                <w:szCs w:val="10"/>
              </w:rPr>
            </w:pPr>
            <w:r>
              <w:rPr>
                <w:rFonts w:ascii="Arial" w:hAnsi="Arial" w:cs="Arial"/>
                <w:color w:val="000000"/>
                <w:sz w:val="10"/>
                <w:szCs w:val="10"/>
              </w:rPr>
              <w:t>10</w:t>
            </w:r>
            <w:r w:rsidRPr="00494586">
              <w:rPr>
                <w:rFonts w:ascii="Arial" w:hAnsi="Arial" w:cs="Arial"/>
                <w:color w:val="000000"/>
                <w:sz w:val="10"/>
                <w:szCs w:val="10"/>
              </w:rPr>
              <w:t xml:space="preserve"> GERENCIAS</w:t>
            </w:r>
          </w:p>
          <w:p w14:paraId="666430C2" w14:textId="73C7443B" w:rsidR="0074332C" w:rsidRDefault="0074332C" w:rsidP="0074332C">
            <w:pPr>
              <w:spacing w:after="0" w:line="240" w:lineRule="auto"/>
              <w:rPr>
                <w:rFonts w:ascii="Arial" w:hAnsi="Arial" w:cs="Arial"/>
                <w:color w:val="000000"/>
                <w:sz w:val="10"/>
                <w:szCs w:val="10"/>
              </w:rPr>
            </w:pPr>
            <w:r>
              <w:rPr>
                <w:rFonts w:ascii="Arial" w:hAnsi="Arial" w:cs="Arial"/>
                <w:color w:val="000000"/>
                <w:sz w:val="10"/>
                <w:szCs w:val="10"/>
              </w:rPr>
              <w:t>38</w:t>
            </w:r>
            <w:r w:rsidRPr="00494586">
              <w:rPr>
                <w:rFonts w:ascii="Arial" w:hAnsi="Arial" w:cs="Arial"/>
                <w:color w:val="000000"/>
                <w:sz w:val="10"/>
                <w:szCs w:val="10"/>
              </w:rPr>
              <w:t xml:space="preserve"> DEPARTAMENTOS</w:t>
            </w:r>
          </w:p>
          <w:p w14:paraId="4786D8F3" w14:textId="2CAF73D8" w:rsidR="0074332C" w:rsidRPr="00494586" w:rsidRDefault="0074332C" w:rsidP="0074332C">
            <w:pPr>
              <w:widowControl w:val="0"/>
              <w:autoSpaceDE w:val="0"/>
              <w:autoSpaceDN w:val="0"/>
              <w:adjustRightInd w:val="0"/>
              <w:contextualSpacing/>
              <w:rPr>
                <w:rFonts w:ascii="Arial" w:hAnsi="Arial" w:cs="Arial"/>
                <w:color w:val="000000"/>
                <w:sz w:val="10"/>
                <w:szCs w:val="10"/>
              </w:rPr>
            </w:pPr>
            <w:r>
              <w:rPr>
                <w:rFonts w:ascii="Arial" w:hAnsi="Arial" w:cs="Arial"/>
                <w:color w:val="000000"/>
                <w:sz w:val="10"/>
                <w:szCs w:val="10"/>
              </w:rPr>
              <w:t>1 CONTRALORIA INTERNA</w:t>
            </w:r>
          </w:p>
        </w:tc>
      </w:tr>
    </w:tbl>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84235528"/>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718413ED" w14:textId="77777777" w:rsidR="0074332C" w:rsidRPr="00A36CC2" w:rsidRDefault="0074332C" w:rsidP="0074332C">
      <w:pPr>
        <w:jc w:val="both"/>
        <w:rPr>
          <w:rFonts w:ascii="Arial" w:hAnsi="Arial" w:cs="Arial"/>
          <w:sz w:val="20"/>
          <w:szCs w:val="20"/>
          <w:u w:val="single"/>
        </w:rPr>
      </w:pPr>
      <w:r w:rsidRPr="00A36CC2">
        <w:rPr>
          <w:rFonts w:ascii="Arial" w:eastAsia="Times New Roman" w:hAnsi="Arial" w:cs="Arial"/>
          <w:color w:val="000000"/>
          <w:sz w:val="20"/>
          <w:szCs w:val="20"/>
          <w:u w:val="single"/>
          <w:lang w:eastAsia="es-ES"/>
        </w:rPr>
        <w:t xml:space="preserve">Administrar y proporcionar los servicios de agua potable, alcantarillado, y tratamiento de aguas residuales, así como la promoción del reúso de dichas aguas, dentro de los límites territoriales que le haya determinado el Ayuntamiento Municipal, </w:t>
      </w:r>
      <w:r w:rsidRPr="00A36CC2">
        <w:rPr>
          <w:rFonts w:ascii="Arial" w:hAnsi="Arial" w:cs="Arial"/>
          <w:color w:val="000000"/>
          <w:sz w:val="20"/>
          <w:szCs w:val="20"/>
          <w:u w:val="single"/>
        </w:rPr>
        <w:t>Planear, estudiar, proyectar, construir, rehabilitar, ampliar, operar, mantener y conservar la infraestructura de agua potable, alcantarillado, tratamiento y reúso de aguas y lodos residuales, promover y ejecutar programas de uso eficiente del agua y difundir una cultura del agua en el Municipio; formular y mantener actualizado el padrón de usuarios de las zonas a su cargo.</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34CD139" w14:textId="77777777" w:rsidR="0074332C" w:rsidRPr="00E7588A" w:rsidRDefault="0074332C" w:rsidP="0074332C">
      <w:pPr>
        <w:jc w:val="both"/>
        <w:rPr>
          <w:rFonts w:ascii="Arial" w:hAnsi="Arial" w:cs="Arial"/>
          <w:sz w:val="20"/>
          <w:szCs w:val="20"/>
          <w:u w:val="single"/>
        </w:rPr>
      </w:pPr>
      <w:r>
        <w:rPr>
          <w:rFonts w:ascii="Arial" w:hAnsi="Arial" w:cs="Arial"/>
          <w:sz w:val="20"/>
          <w:szCs w:val="20"/>
          <w:u w:val="single"/>
        </w:rPr>
        <w:t>La prestación del Servicio de Agua Potable y alcantarillado, drenaje, tratamiento y disposición de las aguas residuales y tratadas.</w:t>
      </w: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2DFBD5F7" w14:textId="66B1C719" w:rsidR="0074332C" w:rsidRDefault="005B032F" w:rsidP="0074332C">
      <w:pPr>
        <w:rPr>
          <w:rFonts w:ascii="Arial" w:hAnsi="Arial" w:cs="Arial"/>
          <w:sz w:val="20"/>
          <w:szCs w:val="20"/>
          <w:u w:val="single"/>
        </w:rPr>
      </w:pPr>
      <w:r>
        <w:rPr>
          <w:rFonts w:ascii="Arial" w:hAnsi="Arial" w:cs="Arial"/>
          <w:sz w:val="20"/>
          <w:szCs w:val="20"/>
          <w:u w:val="single"/>
        </w:rPr>
        <w:t>Enero a Diciembre de</w:t>
      </w:r>
      <w:r w:rsidR="0074332C" w:rsidRPr="00CF5D19">
        <w:rPr>
          <w:rFonts w:ascii="Arial" w:hAnsi="Arial" w:cs="Arial"/>
          <w:sz w:val="20"/>
          <w:szCs w:val="20"/>
          <w:u w:val="single"/>
        </w:rPr>
        <w:t xml:space="preserve"> 20</w:t>
      </w:r>
      <w:r w:rsidR="0074332C">
        <w:rPr>
          <w:rFonts w:ascii="Arial" w:hAnsi="Arial" w:cs="Arial"/>
          <w:sz w:val="20"/>
          <w:szCs w:val="20"/>
          <w:u w:val="single"/>
        </w:rPr>
        <w:t>21</w:t>
      </w:r>
      <w:r w:rsidR="0074332C" w:rsidRPr="00CF5D19">
        <w:rPr>
          <w:rFonts w:ascii="Arial" w:hAnsi="Arial" w:cs="Arial"/>
          <w:sz w:val="20"/>
          <w:szCs w:val="20"/>
          <w:u w:val="single"/>
        </w:rPr>
        <w:t>.</w:t>
      </w:r>
      <w:r w:rsidR="0074332C">
        <w:rPr>
          <w:rFonts w:ascii="Arial" w:hAnsi="Arial" w:cs="Arial"/>
          <w:sz w:val="20"/>
          <w:szCs w:val="20"/>
          <w:u w:val="single"/>
        </w:rPr>
        <w:t xml:space="preserve"> </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7E489DD4" w14:textId="77777777" w:rsidR="0074332C" w:rsidRPr="000D7D75" w:rsidRDefault="0074332C" w:rsidP="0074332C">
      <w:pPr>
        <w:rPr>
          <w:rFonts w:ascii="Arial" w:hAnsi="Arial" w:cs="Arial"/>
          <w:sz w:val="20"/>
          <w:szCs w:val="20"/>
          <w:u w:val="single"/>
        </w:rPr>
      </w:pPr>
      <w:r w:rsidRPr="000D7D75">
        <w:rPr>
          <w:rFonts w:ascii="Arial" w:hAnsi="Arial" w:cs="Arial"/>
          <w:sz w:val="20"/>
          <w:szCs w:val="20"/>
          <w:u w:val="single"/>
        </w:rPr>
        <w:t>Personas Morales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5EC09B8A" w14:textId="4F28D306" w:rsidR="0074332C" w:rsidRDefault="0074332C" w:rsidP="0074332C">
      <w:pPr>
        <w:jc w:val="both"/>
        <w:rPr>
          <w:rFonts w:ascii="Arial" w:hAnsi="Arial" w:cs="Arial"/>
          <w:sz w:val="20"/>
          <w:szCs w:val="20"/>
          <w:u w:val="single"/>
        </w:rPr>
      </w:pPr>
      <w:r w:rsidRPr="00B55CCE">
        <w:rPr>
          <w:rFonts w:ascii="Arial" w:hAnsi="Arial" w:cs="Arial"/>
          <w:b/>
          <w:sz w:val="20"/>
          <w:szCs w:val="20"/>
          <w:u w:val="single"/>
        </w:rPr>
        <w:t>Pagar:</w:t>
      </w:r>
      <w:r>
        <w:rPr>
          <w:rFonts w:ascii="Arial" w:hAnsi="Arial" w:cs="Arial"/>
          <w:sz w:val="20"/>
          <w:szCs w:val="20"/>
          <w:u w:val="single"/>
        </w:rPr>
        <w:t xml:space="preserve"> Derechos por Extracción de Agua Potable, Derechos por Descarga de Aguas Residuales, 2</w:t>
      </w:r>
      <w:r w:rsidR="00F46A6F">
        <w:rPr>
          <w:rFonts w:ascii="Arial" w:hAnsi="Arial" w:cs="Arial"/>
          <w:sz w:val="20"/>
          <w:szCs w:val="20"/>
          <w:u w:val="single"/>
        </w:rPr>
        <w:t>.3</w:t>
      </w:r>
      <w:r>
        <w:rPr>
          <w:rFonts w:ascii="Arial" w:hAnsi="Arial" w:cs="Arial"/>
          <w:sz w:val="20"/>
          <w:szCs w:val="20"/>
          <w:u w:val="single"/>
        </w:rPr>
        <w:t xml:space="preserve">% sobre </w:t>
      </w:r>
      <w:r w:rsidR="00F46A6F">
        <w:rPr>
          <w:rFonts w:ascii="Arial" w:hAnsi="Arial" w:cs="Arial"/>
          <w:sz w:val="20"/>
          <w:szCs w:val="20"/>
          <w:u w:val="single"/>
        </w:rPr>
        <w:t>Nóminas</w:t>
      </w:r>
      <w:r>
        <w:rPr>
          <w:rFonts w:ascii="Arial" w:hAnsi="Arial" w:cs="Arial"/>
          <w:sz w:val="20"/>
          <w:szCs w:val="20"/>
          <w:u w:val="single"/>
        </w:rPr>
        <w:t xml:space="preserve">, IVA a Cargo </w:t>
      </w:r>
      <w:r w:rsidRPr="00B55CCE">
        <w:rPr>
          <w:rFonts w:ascii="Arial" w:hAnsi="Arial" w:cs="Arial"/>
          <w:b/>
          <w:sz w:val="20"/>
          <w:szCs w:val="20"/>
          <w:u w:val="single"/>
        </w:rPr>
        <w:t>Retener:</w:t>
      </w:r>
      <w:r w:rsidRPr="00B55CCE">
        <w:rPr>
          <w:rFonts w:ascii="Arial" w:hAnsi="Arial" w:cs="Arial"/>
          <w:sz w:val="20"/>
          <w:szCs w:val="20"/>
          <w:u w:val="single"/>
        </w:rPr>
        <w:t xml:space="preserve"> </w:t>
      </w:r>
      <w:r>
        <w:rPr>
          <w:rFonts w:ascii="Arial" w:hAnsi="Arial" w:cs="Arial"/>
          <w:sz w:val="20"/>
          <w:szCs w:val="20"/>
          <w:u w:val="single"/>
        </w:rPr>
        <w:t>I</w:t>
      </w:r>
      <w:r w:rsidRPr="00B55CCE">
        <w:rPr>
          <w:rFonts w:ascii="Arial" w:hAnsi="Arial" w:cs="Arial"/>
          <w:sz w:val="20"/>
          <w:szCs w:val="20"/>
          <w:u w:val="single"/>
        </w:rPr>
        <w:t>mpue</w:t>
      </w:r>
      <w:r>
        <w:rPr>
          <w:rFonts w:ascii="Arial" w:hAnsi="Arial" w:cs="Arial"/>
          <w:sz w:val="20"/>
          <w:szCs w:val="20"/>
          <w:u w:val="single"/>
        </w:rPr>
        <w:t>sto sobre la renta a empleados, Honorarios, A</w:t>
      </w:r>
      <w:r w:rsidRPr="00B55CCE">
        <w:rPr>
          <w:rFonts w:ascii="Arial" w:hAnsi="Arial" w:cs="Arial"/>
          <w:sz w:val="20"/>
          <w:szCs w:val="20"/>
          <w:u w:val="single"/>
        </w:rPr>
        <w:t>rrendamiento</w:t>
      </w:r>
      <w:r>
        <w:rPr>
          <w:rFonts w:ascii="Arial" w:hAnsi="Arial" w:cs="Arial"/>
          <w:sz w:val="20"/>
          <w:szCs w:val="20"/>
          <w:u w:val="single"/>
        </w:rPr>
        <w:t>, I</w:t>
      </w:r>
      <w:r w:rsidRPr="00B55CCE">
        <w:rPr>
          <w:rFonts w:ascii="Arial" w:hAnsi="Arial" w:cs="Arial"/>
          <w:sz w:val="20"/>
          <w:szCs w:val="20"/>
          <w:u w:val="single"/>
        </w:rPr>
        <w:t xml:space="preserve">mpuesto cedular, </w:t>
      </w:r>
      <w:r>
        <w:rPr>
          <w:rFonts w:ascii="Arial" w:hAnsi="Arial" w:cs="Arial"/>
          <w:sz w:val="20"/>
          <w:szCs w:val="20"/>
          <w:u w:val="single"/>
        </w:rPr>
        <w:t>ISR Extranjeros</w:t>
      </w:r>
      <w:r w:rsidR="004A5298">
        <w:rPr>
          <w:rFonts w:ascii="Arial" w:hAnsi="Arial" w:cs="Arial"/>
          <w:sz w:val="20"/>
          <w:szCs w:val="20"/>
          <w:u w:val="single"/>
        </w:rPr>
        <w:t>, ISR Asimilados.</w:t>
      </w:r>
      <w:r>
        <w:rPr>
          <w:rFonts w:ascii="Arial" w:hAnsi="Arial" w:cs="Arial"/>
          <w:sz w:val="20"/>
          <w:szCs w:val="20"/>
          <w:u w:val="single"/>
        </w:rPr>
        <w:t xml:space="preserve"> </w:t>
      </w:r>
      <w:r w:rsidRPr="00B55CCE">
        <w:rPr>
          <w:rFonts w:ascii="Arial" w:hAnsi="Arial" w:cs="Arial"/>
          <w:b/>
          <w:sz w:val="20"/>
          <w:szCs w:val="20"/>
          <w:u w:val="single"/>
        </w:rPr>
        <w:t>Se entera</w:t>
      </w:r>
      <w:r>
        <w:rPr>
          <w:rFonts w:ascii="Arial" w:hAnsi="Arial" w:cs="Arial"/>
          <w:sz w:val="20"/>
          <w:szCs w:val="20"/>
          <w:u w:val="single"/>
        </w:rPr>
        <w:t xml:space="preserve"> el IVA a Favor para devoluciones.</w:t>
      </w: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39B0D467"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4FD1416B" w14:textId="0A7836E1" w:rsidR="00540A12" w:rsidRPr="00E74967" w:rsidRDefault="00540A12" w:rsidP="00F46A6F">
      <w:pPr>
        <w:tabs>
          <w:tab w:val="left" w:leader="underscore" w:pos="9639"/>
        </w:tabs>
        <w:spacing w:after="0" w:line="240" w:lineRule="auto"/>
        <w:ind w:firstLine="708"/>
        <w:jc w:val="center"/>
        <w:rPr>
          <w:rFonts w:cs="Calibri"/>
        </w:rPr>
      </w:pPr>
      <w:r>
        <w:rPr>
          <w:noProof/>
          <w:lang w:eastAsia="es-MX"/>
        </w:rPr>
        <w:lastRenderedPageBreak/>
        <w:drawing>
          <wp:inline distT="0" distB="0" distL="0" distR="0" wp14:anchorId="40DE0ACA" wp14:editId="7945510A">
            <wp:extent cx="5178582" cy="3811486"/>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2493" r="12544" b="1868"/>
                    <a:stretch/>
                  </pic:blipFill>
                  <pic:spPr bwMode="auto">
                    <a:xfrm>
                      <a:off x="0" y="0"/>
                      <a:ext cx="5243853" cy="3859526"/>
                    </a:xfrm>
                    <a:prstGeom prst="rect">
                      <a:avLst/>
                    </a:prstGeom>
                    <a:ln>
                      <a:noFill/>
                    </a:ln>
                    <a:extLst>
                      <a:ext uri="{53640926-AAD7-44D8-BBD7-CCE9431645EC}">
                        <a14:shadowObscured xmlns:a14="http://schemas.microsoft.com/office/drawing/2010/main"/>
                      </a:ext>
                    </a:extLst>
                  </pic:spPr>
                </pic:pic>
              </a:graphicData>
            </a:graphic>
          </wp:inline>
        </w:drawing>
      </w:r>
    </w:p>
    <w:p w14:paraId="3450C629" w14:textId="3688FBB3" w:rsidR="007D1E76" w:rsidRDefault="007D1E76" w:rsidP="00CB41C4">
      <w:pPr>
        <w:tabs>
          <w:tab w:val="left" w:leader="underscore" w:pos="9639"/>
        </w:tabs>
        <w:spacing w:after="0" w:line="240" w:lineRule="auto"/>
        <w:jc w:val="both"/>
        <w:rPr>
          <w:rFonts w:cs="Calibri"/>
        </w:rPr>
      </w:pPr>
    </w:p>
    <w:p w14:paraId="402CD14D" w14:textId="101F17FE" w:rsidR="00CB41C4"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0A4EDC2" w14:textId="17FAA394" w:rsidR="007D1E76" w:rsidRPr="00E74967" w:rsidRDefault="004A5298" w:rsidP="00CB41C4">
      <w:pPr>
        <w:tabs>
          <w:tab w:val="left" w:leader="underscore" w:pos="9639"/>
        </w:tabs>
        <w:spacing w:after="0" w:line="240" w:lineRule="auto"/>
        <w:jc w:val="both"/>
        <w:rPr>
          <w:rFonts w:cs="Calibri"/>
        </w:rPr>
      </w:pPr>
      <w:r w:rsidRPr="008A41BD">
        <w:rPr>
          <w:rFonts w:asciiTheme="minorHAnsi" w:hAnsiTheme="minorHAnsi" w:cstheme="minorHAnsi"/>
          <w:u w:val="single"/>
        </w:rPr>
        <w:t xml:space="preserve">FIDEICOMISO No. 1902, denominado “Fondo de Inversión en </w:t>
      </w:r>
      <w:r>
        <w:rPr>
          <w:rFonts w:asciiTheme="minorHAnsi" w:hAnsiTheme="minorHAnsi" w:cstheme="minorHAnsi"/>
          <w:u w:val="single"/>
        </w:rPr>
        <w:t xml:space="preserve">Infraestructura”, mismo que fue </w:t>
      </w:r>
      <w:r w:rsidRPr="008A41BD">
        <w:rPr>
          <w:rFonts w:asciiTheme="minorHAnsi" w:hAnsiTheme="minorHAnsi" w:cstheme="minorHAnsi"/>
          <w:u w:val="single"/>
        </w:rPr>
        <w:t>autorizado</w:t>
      </w:r>
      <w:r>
        <w:rPr>
          <w:rFonts w:asciiTheme="minorHAnsi" w:hAnsiTheme="minorHAnsi" w:cstheme="minorHAnsi"/>
          <w:u w:val="single"/>
        </w:rPr>
        <w:t xml:space="preserve"> </w:t>
      </w:r>
      <w:r w:rsidRPr="008A41BD">
        <w:rPr>
          <w:rFonts w:asciiTheme="minorHAnsi" w:hAnsiTheme="minorHAnsi" w:cstheme="minorHAnsi"/>
          <w:u w:val="single"/>
        </w:rPr>
        <w:t xml:space="preserve">por el Comité Técnico de dicho FIDEICOMISO en el Acuerdo CT.-IV-9/DIC/2005-V.12 contenido en el Oficio número SDP/141000/030/2006 de fecha </w:t>
      </w:r>
      <w:smartTag w:uri="urn:schemas-microsoft-com:office:smarttags" w:element="date">
        <w:smartTagPr>
          <w:attr w:name="Year" w:val="2006"/>
          <w:attr w:name="Day" w:val="18"/>
          <w:attr w:name="Month" w:val="1"/>
          <w:attr w:name="ls" w:val="trans"/>
        </w:smartTagPr>
        <w:r w:rsidRPr="008A41BD">
          <w:rPr>
            <w:rFonts w:asciiTheme="minorHAnsi" w:hAnsiTheme="minorHAnsi" w:cstheme="minorHAnsi"/>
            <w:u w:val="single"/>
          </w:rPr>
          <w:t>18 de enero del 2006</w:t>
        </w:r>
      </w:smartTag>
      <w:r w:rsidRPr="008A41BD">
        <w:rPr>
          <w:rFonts w:asciiTheme="minorHAnsi" w:hAnsiTheme="minorHAnsi" w:cstheme="minorHAnsi"/>
          <w:u w:val="single"/>
        </w:rPr>
        <w:t>.</w:t>
      </w:r>
    </w:p>
    <w:p w14:paraId="4241EF36" w14:textId="7E6E2FBC" w:rsidR="007D1E76" w:rsidRDefault="007D1E76"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84235529"/>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8204A61" w14:textId="0AB9FD61" w:rsidR="004A5298" w:rsidRDefault="004A5298" w:rsidP="004A5298">
      <w:pPr>
        <w:rPr>
          <w:rFonts w:ascii="Arial" w:hAnsi="Arial" w:cs="Arial"/>
          <w:sz w:val="20"/>
          <w:szCs w:val="20"/>
          <w:u w:val="single"/>
        </w:rPr>
      </w:pPr>
      <w:r w:rsidRPr="000D7D75">
        <w:rPr>
          <w:rFonts w:ascii="Arial" w:hAnsi="Arial" w:cs="Arial"/>
          <w:sz w:val="20"/>
          <w:szCs w:val="20"/>
          <w:u w:val="single"/>
        </w:rPr>
        <w:t>SI.</w:t>
      </w:r>
    </w:p>
    <w:p w14:paraId="73F52BD1" w14:textId="2F8A027E"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C8E65E0" w14:textId="77777777" w:rsidR="004A5298" w:rsidRPr="00E74967" w:rsidRDefault="004A5298" w:rsidP="00CB41C4">
      <w:pPr>
        <w:tabs>
          <w:tab w:val="left" w:leader="underscore" w:pos="9639"/>
        </w:tabs>
        <w:spacing w:after="0" w:line="240" w:lineRule="auto"/>
        <w:jc w:val="both"/>
        <w:rPr>
          <w:rFonts w:cs="Calibri"/>
        </w:rPr>
      </w:pPr>
    </w:p>
    <w:p w14:paraId="6EAB1F40" w14:textId="77777777" w:rsidR="004A5298" w:rsidRPr="00771743" w:rsidRDefault="004A5298" w:rsidP="004A5298">
      <w:pPr>
        <w:jc w:val="both"/>
        <w:rPr>
          <w:rFonts w:ascii="Arial" w:hAnsi="Arial" w:cs="Arial"/>
          <w:sz w:val="20"/>
          <w:szCs w:val="20"/>
          <w:u w:val="single"/>
        </w:rPr>
      </w:pPr>
      <w:r w:rsidRPr="00771743">
        <w:rPr>
          <w:rFonts w:ascii="Arial" w:hAnsi="Arial" w:cs="Arial"/>
          <w:sz w:val="20"/>
          <w:szCs w:val="20"/>
          <w:u w:val="single"/>
        </w:rPr>
        <w:t>El método de valuación de inventarios utilizado en el Organismo es el UEPS, y que refleja un costo de los materiales más conservador en el entorno económico en el que nos desenvolvemos. La información se registra a costo histórico.</w:t>
      </w: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09E3F11C" w14:textId="77777777" w:rsidR="004A5298" w:rsidRPr="00771743" w:rsidRDefault="004A5298" w:rsidP="004A5298">
      <w:pPr>
        <w:jc w:val="both"/>
        <w:rPr>
          <w:rFonts w:ascii="Arial" w:hAnsi="Arial" w:cs="Arial"/>
          <w:sz w:val="20"/>
          <w:szCs w:val="20"/>
          <w:u w:val="single"/>
        </w:rPr>
      </w:pPr>
      <w:r w:rsidRPr="00771743">
        <w:rPr>
          <w:rFonts w:ascii="Arial" w:hAnsi="Arial" w:cs="Arial"/>
          <w:sz w:val="20"/>
          <w:szCs w:val="20"/>
          <w:u w:val="single"/>
        </w:rPr>
        <w:t xml:space="preserve">En la presentación de la información financiera y contable del Organismo se ha cuidado dar cumplimiento a lo establecido en los Postulados de conformidad con lo dispuesto en la Ley General de Contabilidad </w:t>
      </w:r>
      <w:r w:rsidRPr="00771743">
        <w:rPr>
          <w:rFonts w:ascii="Arial" w:hAnsi="Arial" w:cs="Arial"/>
          <w:sz w:val="20"/>
          <w:szCs w:val="20"/>
          <w:u w:val="single"/>
        </w:rPr>
        <w:lastRenderedPageBreak/>
        <w:t>Gubernamental: Sustancia Económica, Entes Públicos, Existencia Permanente, Revelación Suficiente, Importancia Relativa, Registro e Integración Presupuestaria, Consolidación de la Información Financiera, Devengo Contable, Valuación, Dualidad Económica y Consistencia</w:t>
      </w:r>
      <w:r>
        <w:rPr>
          <w:rFonts w:ascii="Arial" w:hAnsi="Arial" w:cs="Arial"/>
          <w:sz w:val="20"/>
          <w:szCs w:val="20"/>
          <w:u w:val="single"/>
        </w:rPr>
        <w:t>.</w:t>
      </w: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4D77425" w14:textId="77777777" w:rsidR="004A5298" w:rsidRPr="005B032F" w:rsidRDefault="004A5298" w:rsidP="004A5298">
      <w:pPr>
        <w:tabs>
          <w:tab w:val="left" w:leader="underscore" w:pos="9639"/>
        </w:tabs>
        <w:spacing w:after="0" w:line="240" w:lineRule="auto"/>
        <w:jc w:val="both"/>
        <w:rPr>
          <w:rFonts w:ascii="Arial" w:hAnsi="Arial" w:cs="Arial"/>
          <w:sz w:val="20"/>
          <w:szCs w:val="20"/>
          <w:u w:val="single"/>
        </w:rPr>
      </w:pPr>
      <w:r w:rsidRPr="005B032F">
        <w:rPr>
          <w:rFonts w:ascii="Arial" w:hAnsi="Arial" w:cs="Arial"/>
          <w:sz w:val="20"/>
          <w:szCs w:val="20"/>
          <w:u w:val="single"/>
        </w:rPr>
        <w:t>“Esta nota no le aplica al ente público” no realizamos movimientos que los afecten.</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4CE8BF0" w14:textId="77777777" w:rsidR="004A5298" w:rsidRPr="005B032F" w:rsidRDefault="004A5298" w:rsidP="004A5298">
      <w:pPr>
        <w:tabs>
          <w:tab w:val="left" w:leader="underscore" w:pos="9639"/>
        </w:tabs>
        <w:spacing w:after="0" w:line="240" w:lineRule="auto"/>
        <w:jc w:val="both"/>
        <w:rPr>
          <w:rFonts w:ascii="Arial" w:hAnsi="Arial" w:cs="Arial"/>
          <w:sz w:val="20"/>
          <w:szCs w:val="20"/>
          <w:u w:val="single"/>
        </w:rPr>
      </w:pPr>
      <w:r w:rsidRPr="005B032F">
        <w:rPr>
          <w:rFonts w:ascii="Arial" w:hAnsi="Arial" w:cs="Arial"/>
          <w:sz w:val="20"/>
          <w:szCs w:val="20"/>
          <w:u w:val="single"/>
        </w:rPr>
        <w:t>“Esta nota no le aplica al ente público” no somos Entidades que lo estemos implementando por primera vez.</w:t>
      </w:r>
    </w:p>
    <w:p w14:paraId="3F0D6CB3" w14:textId="77777777" w:rsidR="004A5298" w:rsidRDefault="004A5298" w:rsidP="00CB41C4">
      <w:pPr>
        <w:tabs>
          <w:tab w:val="left" w:leader="underscore" w:pos="9639"/>
        </w:tabs>
        <w:spacing w:after="0" w:line="240" w:lineRule="auto"/>
        <w:jc w:val="both"/>
        <w:rPr>
          <w:rFonts w:cs="Calibri"/>
        </w:rPr>
      </w:pPr>
    </w:p>
    <w:p w14:paraId="6BEBABB5" w14:textId="799AB48D"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59852868" w14:textId="3C78EB5F" w:rsidR="004A5298" w:rsidRPr="005B032F" w:rsidRDefault="004A5298" w:rsidP="004A5298">
      <w:pPr>
        <w:tabs>
          <w:tab w:val="left" w:leader="underscore" w:pos="9639"/>
        </w:tabs>
        <w:spacing w:after="0" w:line="240" w:lineRule="auto"/>
        <w:jc w:val="both"/>
        <w:rPr>
          <w:rFonts w:ascii="Arial" w:hAnsi="Arial" w:cs="Arial"/>
          <w:sz w:val="20"/>
          <w:szCs w:val="20"/>
          <w:u w:val="single"/>
        </w:rPr>
      </w:pPr>
      <w:r w:rsidRPr="005B032F">
        <w:rPr>
          <w:rFonts w:ascii="Arial" w:hAnsi="Arial" w:cs="Arial"/>
          <w:sz w:val="20"/>
          <w:szCs w:val="20"/>
          <w:u w:val="single"/>
        </w:rPr>
        <w:t>“Esta nota no le aplica al ente público” no somos Entidades que lo estemos implementando por primera vez.</w:t>
      </w:r>
    </w:p>
    <w:p w14:paraId="05EA791A" w14:textId="77777777" w:rsidR="004A5298" w:rsidRDefault="004A5298" w:rsidP="004A5298">
      <w:pPr>
        <w:tabs>
          <w:tab w:val="left" w:leader="underscore" w:pos="9639"/>
        </w:tabs>
        <w:spacing w:after="0" w:line="240" w:lineRule="auto"/>
        <w:jc w:val="both"/>
        <w:rPr>
          <w:rFonts w:asciiTheme="minorHAnsi" w:hAnsiTheme="minorHAnsi" w:cstheme="minorHAnsi"/>
          <w:sz w:val="24"/>
          <w:szCs w:val="24"/>
          <w:u w:val="single"/>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3585807F" w14:textId="77777777" w:rsidR="004A5298" w:rsidRPr="005B032F" w:rsidRDefault="004A5298" w:rsidP="004A5298">
      <w:pPr>
        <w:tabs>
          <w:tab w:val="left" w:leader="underscore" w:pos="9639"/>
        </w:tabs>
        <w:spacing w:after="0" w:line="240" w:lineRule="auto"/>
        <w:jc w:val="both"/>
        <w:rPr>
          <w:rFonts w:ascii="Arial" w:hAnsi="Arial" w:cs="Arial"/>
          <w:sz w:val="20"/>
          <w:szCs w:val="20"/>
          <w:u w:val="single"/>
        </w:rPr>
      </w:pPr>
      <w:r w:rsidRPr="005B032F">
        <w:rPr>
          <w:rFonts w:ascii="Arial" w:hAnsi="Arial" w:cs="Arial"/>
          <w:sz w:val="20"/>
          <w:szCs w:val="20"/>
          <w:u w:val="single"/>
        </w:rPr>
        <w:t>“Esta nota no le aplica al ente público” no somos Entidades que lo estemos implementando por primera vez.</w:t>
      </w:r>
    </w:p>
    <w:p w14:paraId="0360043A" w14:textId="6D74D112" w:rsidR="007D1E76" w:rsidRPr="00E74967" w:rsidRDefault="007D1E76" w:rsidP="00CB41C4">
      <w:pPr>
        <w:tabs>
          <w:tab w:val="left" w:leader="underscore" w:pos="9639"/>
        </w:tabs>
        <w:spacing w:after="0" w:line="240" w:lineRule="auto"/>
        <w:jc w:val="both"/>
        <w:rPr>
          <w:rFonts w:cs="Calibri"/>
        </w:rPr>
      </w:pPr>
    </w:p>
    <w:p w14:paraId="158EC49E" w14:textId="556DF98A" w:rsidR="007D1E76"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84235530"/>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715F8747" w14:textId="77777777" w:rsidR="004A5298" w:rsidRPr="005B032F" w:rsidRDefault="004A5298" w:rsidP="004A5298">
      <w:pPr>
        <w:tabs>
          <w:tab w:val="left" w:leader="underscore" w:pos="9639"/>
        </w:tabs>
        <w:spacing w:after="0" w:line="240" w:lineRule="auto"/>
        <w:jc w:val="both"/>
        <w:rPr>
          <w:rFonts w:ascii="Arial" w:hAnsi="Arial" w:cs="Arial"/>
          <w:sz w:val="20"/>
          <w:szCs w:val="20"/>
          <w:u w:val="single"/>
        </w:rPr>
      </w:pPr>
      <w:r w:rsidRPr="005B032F">
        <w:rPr>
          <w:rFonts w:ascii="Arial" w:hAnsi="Arial" w:cs="Arial"/>
          <w:sz w:val="20"/>
          <w:szCs w:val="20"/>
          <w:u w:val="single"/>
        </w:rPr>
        <w:t>“Esta nota no le aplica al ente público” no realizamos movimientos que los afecten.</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5A2777D6" w14:textId="77777777" w:rsidR="004A5298" w:rsidRPr="005B032F" w:rsidRDefault="004A5298" w:rsidP="004A5298">
      <w:pPr>
        <w:tabs>
          <w:tab w:val="left" w:leader="underscore" w:pos="9639"/>
        </w:tabs>
        <w:spacing w:after="0" w:line="240" w:lineRule="auto"/>
        <w:jc w:val="both"/>
        <w:rPr>
          <w:rFonts w:ascii="Arial" w:hAnsi="Arial" w:cs="Arial"/>
          <w:sz w:val="20"/>
          <w:szCs w:val="20"/>
          <w:u w:val="single"/>
        </w:rPr>
      </w:pPr>
      <w:r w:rsidRPr="005B032F">
        <w:rPr>
          <w:rFonts w:ascii="Arial" w:hAnsi="Arial" w:cs="Arial"/>
          <w:sz w:val="20"/>
          <w:szCs w:val="20"/>
          <w:u w:val="single"/>
        </w:rPr>
        <w:t>“Esta nota no le aplica al ente público” no realizamos movimientos que los afecten.</w:t>
      </w:r>
    </w:p>
    <w:p w14:paraId="35FCED94" w14:textId="77777777" w:rsidR="007D1E76" w:rsidRPr="005B032F" w:rsidRDefault="007D1E76" w:rsidP="00CB41C4">
      <w:pPr>
        <w:tabs>
          <w:tab w:val="left" w:leader="underscore" w:pos="9639"/>
        </w:tabs>
        <w:spacing w:after="0" w:line="240" w:lineRule="auto"/>
        <w:jc w:val="both"/>
        <w:rPr>
          <w:rFonts w:ascii="Arial" w:hAnsi="Arial" w:cs="Arial"/>
          <w:sz w:val="20"/>
          <w:szCs w:val="20"/>
          <w:u w:val="single"/>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7CB813A" w14:textId="77777777" w:rsidR="005B032F" w:rsidRPr="005B032F" w:rsidRDefault="005B032F" w:rsidP="005B032F">
      <w:pPr>
        <w:tabs>
          <w:tab w:val="left" w:leader="underscore" w:pos="9639"/>
        </w:tabs>
        <w:spacing w:after="0" w:line="240" w:lineRule="auto"/>
        <w:jc w:val="both"/>
        <w:rPr>
          <w:rFonts w:ascii="Arial" w:hAnsi="Arial" w:cs="Arial"/>
          <w:sz w:val="20"/>
          <w:szCs w:val="20"/>
          <w:u w:val="single"/>
        </w:rPr>
      </w:pPr>
      <w:r w:rsidRPr="005B032F">
        <w:rPr>
          <w:rFonts w:ascii="Arial" w:hAnsi="Arial" w:cs="Arial"/>
          <w:sz w:val="20"/>
          <w:szCs w:val="20"/>
          <w:u w:val="single"/>
        </w:rPr>
        <w:t>“Esta nota no le aplica al ente público” no realizamos movimientos que los afecten.</w:t>
      </w:r>
    </w:p>
    <w:p w14:paraId="05297DB8" w14:textId="77777777" w:rsidR="005B032F" w:rsidRPr="005B032F" w:rsidRDefault="005B032F" w:rsidP="005B032F">
      <w:pPr>
        <w:tabs>
          <w:tab w:val="left" w:leader="underscore" w:pos="9639"/>
        </w:tabs>
        <w:spacing w:after="0" w:line="240" w:lineRule="auto"/>
        <w:jc w:val="both"/>
        <w:rPr>
          <w:rFonts w:ascii="Arial" w:hAnsi="Arial" w:cs="Arial"/>
          <w:sz w:val="20"/>
          <w:szCs w:val="20"/>
          <w:u w:val="single"/>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C266F1C" w14:textId="77777777" w:rsidR="004A5298" w:rsidRPr="008F0698" w:rsidRDefault="004A5298" w:rsidP="004A5298">
      <w:pPr>
        <w:rPr>
          <w:rFonts w:ascii="Arial" w:hAnsi="Arial" w:cs="Arial"/>
          <w:sz w:val="20"/>
          <w:szCs w:val="20"/>
          <w:u w:val="single"/>
        </w:rPr>
      </w:pPr>
      <w:r>
        <w:rPr>
          <w:rFonts w:ascii="Arial" w:hAnsi="Arial" w:cs="Arial"/>
          <w:sz w:val="20"/>
          <w:szCs w:val="20"/>
          <w:u w:val="single"/>
        </w:rPr>
        <w:t xml:space="preserve">Sistema UEPS-Ultimas </w:t>
      </w:r>
      <w:r w:rsidRPr="008F0698">
        <w:rPr>
          <w:rFonts w:ascii="Arial" w:hAnsi="Arial" w:cs="Arial"/>
          <w:sz w:val="20"/>
          <w:szCs w:val="20"/>
          <w:u w:val="single"/>
        </w:rPr>
        <w:t>Entradas primeras salidas.</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5B8E8E58" w14:textId="77777777" w:rsidR="004A5298" w:rsidRPr="005B032F" w:rsidRDefault="004A5298" w:rsidP="004A5298">
      <w:pPr>
        <w:tabs>
          <w:tab w:val="left" w:leader="underscore" w:pos="9639"/>
        </w:tabs>
        <w:spacing w:after="0" w:line="240" w:lineRule="auto"/>
        <w:jc w:val="both"/>
        <w:rPr>
          <w:rFonts w:ascii="Arial" w:hAnsi="Arial" w:cs="Arial"/>
          <w:sz w:val="20"/>
          <w:szCs w:val="20"/>
          <w:u w:val="single"/>
        </w:rPr>
      </w:pPr>
      <w:r w:rsidRPr="005B032F">
        <w:rPr>
          <w:rFonts w:ascii="Arial" w:hAnsi="Arial" w:cs="Arial"/>
          <w:sz w:val="20"/>
          <w:szCs w:val="20"/>
          <w:u w:val="single"/>
        </w:rPr>
        <w:t>“Esta nota no le aplica al ente público” no realizamos movimientos que los afecten.</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1EEEAF2" w14:textId="18FBAEAF" w:rsidR="005B032F" w:rsidRPr="003C0BA3" w:rsidRDefault="005B032F" w:rsidP="005B032F">
      <w:pPr>
        <w:rPr>
          <w:rFonts w:ascii="Arial" w:hAnsi="Arial" w:cs="Arial"/>
          <w:sz w:val="20"/>
          <w:szCs w:val="20"/>
          <w:u w:val="single"/>
        </w:rPr>
      </w:pPr>
      <w:r w:rsidRPr="003C0BA3">
        <w:rPr>
          <w:rFonts w:ascii="Arial" w:hAnsi="Arial" w:cs="Arial"/>
          <w:sz w:val="20"/>
          <w:szCs w:val="20"/>
          <w:u w:val="single"/>
        </w:rPr>
        <w:t xml:space="preserve">Provisiones de Ejercicios Anteriores (Obra por ejecutar </w:t>
      </w:r>
      <w:r>
        <w:rPr>
          <w:rFonts w:ascii="Arial" w:hAnsi="Arial" w:cs="Arial"/>
          <w:sz w:val="20"/>
          <w:szCs w:val="20"/>
          <w:u w:val="single"/>
        </w:rPr>
        <w:t>$</w:t>
      </w:r>
      <w:r w:rsidR="0008586D" w:rsidRPr="0008586D">
        <w:rPr>
          <w:rFonts w:ascii="Arial" w:hAnsi="Arial" w:cs="Arial"/>
          <w:sz w:val="20"/>
          <w:szCs w:val="20"/>
          <w:u w:val="single"/>
        </w:rPr>
        <w:t>5,442,373.28</w:t>
      </w:r>
      <w:r w:rsidRPr="003C0BA3">
        <w:rPr>
          <w:rFonts w:ascii="Arial" w:hAnsi="Arial" w:cs="Arial"/>
          <w:sz w:val="20"/>
          <w:szCs w:val="20"/>
          <w:u w:val="single"/>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56F5C6F" w14:textId="77777777" w:rsidR="004A5298" w:rsidRPr="005B032F" w:rsidRDefault="004A5298" w:rsidP="004A5298">
      <w:pPr>
        <w:tabs>
          <w:tab w:val="left" w:leader="underscore" w:pos="9639"/>
        </w:tabs>
        <w:spacing w:after="0" w:line="240" w:lineRule="auto"/>
        <w:jc w:val="both"/>
        <w:rPr>
          <w:rFonts w:ascii="Arial" w:hAnsi="Arial" w:cs="Arial"/>
          <w:sz w:val="20"/>
          <w:szCs w:val="20"/>
          <w:u w:val="single"/>
        </w:rPr>
      </w:pPr>
      <w:r w:rsidRPr="005B032F">
        <w:rPr>
          <w:rFonts w:ascii="Arial" w:hAnsi="Arial" w:cs="Arial"/>
          <w:sz w:val="20"/>
          <w:szCs w:val="20"/>
          <w:u w:val="single"/>
        </w:rPr>
        <w:t>“Esta nota no le aplica al ente público” no realizamos movimientos que los afecten.</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D187EFB" w14:textId="77777777" w:rsidR="00886E46" w:rsidRPr="005B032F" w:rsidRDefault="00886E46" w:rsidP="00886E46">
      <w:pPr>
        <w:tabs>
          <w:tab w:val="left" w:leader="underscore" w:pos="9639"/>
        </w:tabs>
        <w:spacing w:after="0" w:line="240" w:lineRule="auto"/>
        <w:jc w:val="both"/>
        <w:rPr>
          <w:rFonts w:ascii="Arial" w:hAnsi="Arial" w:cs="Arial"/>
          <w:sz w:val="20"/>
          <w:szCs w:val="20"/>
          <w:u w:val="single"/>
        </w:rPr>
      </w:pPr>
      <w:r w:rsidRPr="005B032F">
        <w:rPr>
          <w:rFonts w:ascii="Arial" w:hAnsi="Arial" w:cs="Arial"/>
          <w:sz w:val="20"/>
          <w:szCs w:val="20"/>
          <w:u w:val="single"/>
        </w:rPr>
        <w:t>“Esta nota no le aplica al ente público” no realizamos movimientos que los afecten.</w:t>
      </w:r>
    </w:p>
    <w:p w14:paraId="14696C24" w14:textId="31B8E43B"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B6E34F0" w14:textId="77777777" w:rsidR="00886E46" w:rsidRPr="005B032F" w:rsidRDefault="00886E46" w:rsidP="00886E46">
      <w:pPr>
        <w:tabs>
          <w:tab w:val="left" w:leader="underscore" w:pos="9639"/>
        </w:tabs>
        <w:spacing w:after="0" w:line="240" w:lineRule="auto"/>
        <w:jc w:val="both"/>
        <w:rPr>
          <w:rFonts w:ascii="Arial" w:hAnsi="Arial" w:cs="Arial"/>
          <w:sz w:val="20"/>
          <w:szCs w:val="20"/>
          <w:u w:val="single"/>
        </w:rPr>
      </w:pPr>
      <w:r w:rsidRPr="005B032F">
        <w:rPr>
          <w:rFonts w:ascii="Arial" w:hAnsi="Arial" w:cs="Arial"/>
          <w:sz w:val="20"/>
          <w:szCs w:val="20"/>
          <w:u w:val="single"/>
        </w:rPr>
        <w:t>“Esta nota no le aplica al ente público” no realizamos movimientos que los afecten.</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D06B360" w14:textId="129700D6" w:rsidR="007D1E76" w:rsidRPr="005B032F" w:rsidRDefault="00886E46" w:rsidP="005B032F">
      <w:pPr>
        <w:tabs>
          <w:tab w:val="left" w:leader="underscore" w:pos="9639"/>
        </w:tabs>
        <w:spacing w:after="0" w:line="240" w:lineRule="auto"/>
        <w:jc w:val="both"/>
        <w:rPr>
          <w:rFonts w:ascii="Arial" w:hAnsi="Arial" w:cs="Arial"/>
          <w:sz w:val="20"/>
          <w:szCs w:val="20"/>
          <w:u w:val="single"/>
        </w:rPr>
      </w:pPr>
      <w:r w:rsidRPr="008F0698">
        <w:rPr>
          <w:rFonts w:ascii="Arial" w:hAnsi="Arial" w:cs="Arial"/>
          <w:sz w:val="20"/>
          <w:szCs w:val="20"/>
          <w:u w:val="single"/>
        </w:rPr>
        <w:t>Cancelación de servicios no ejecutados</w:t>
      </w:r>
      <w:r w:rsidR="005B032F">
        <w:rPr>
          <w:rFonts w:ascii="Arial" w:hAnsi="Arial" w:cs="Arial"/>
          <w:sz w:val="20"/>
          <w:szCs w:val="20"/>
          <w:u w:val="single"/>
        </w:rPr>
        <w:t>.</w:t>
      </w:r>
      <w:r w:rsidRPr="008F0698">
        <w:rPr>
          <w:rFonts w:ascii="Arial" w:hAnsi="Arial" w:cs="Arial"/>
          <w:sz w:val="20"/>
          <w:szCs w:val="20"/>
          <w:u w:val="single"/>
        </w:rPr>
        <w:t xml:space="preserve"> </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84235531"/>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2DC4B27" w14:textId="77777777" w:rsidR="00886E46" w:rsidRPr="005B032F" w:rsidRDefault="00886E46" w:rsidP="00886E46">
      <w:pPr>
        <w:tabs>
          <w:tab w:val="left" w:leader="underscore" w:pos="9639"/>
        </w:tabs>
        <w:spacing w:after="0" w:line="240" w:lineRule="auto"/>
        <w:jc w:val="both"/>
        <w:rPr>
          <w:rFonts w:ascii="Arial" w:hAnsi="Arial" w:cs="Arial"/>
          <w:sz w:val="20"/>
          <w:szCs w:val="20"/>
          <w:u w:val="single"/>
        </w:rPr>
      </w:pPr>
      <w:r w:rsidRPr="005B032F">
        <w:rPr>
          <w:rFonts w:ascii="Arial" w:hAnsi="Arial" w:cs="Arial"/>
          <w:sz w:val="20"/>
          <w:szCs w:val="20"/>
          <w:u w:val="single"/>
        </w:rPr>
        <w:t>“Esta nota no le aplica al ente público” no realizamos movimientos que los afecten.</w:t>
      </w:r>
    </w:p>
    <w:p w14:paraId="43F08C55" w14:textId="77777777" w:rsidR="007D1E76" w:rsidRPr="005B032F" w:rsidRDefault="007D1E76" w:rsidP="00CB41C4">
      <w:pPr>
        <w:tabs>
          <w:tab w:val="left" w:leader="underscore" w:pos="9639"/>
        </w:tabs>
        <w:spacing w:after="0" w:line="240" w:lineRule="auto"/>
        <w:jc w:val="both"/>
        <w:rPr>
          <w:rFonts w:ascii="Arial" w:hAnsi="Arial" w:cs="Arial"/>
          <w:sz w:val="20"/>
          <w:szCs w:val="20"/>
          <w:u w:val="single"/>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5A1E0B4" w14:textId="77777777" w:rsidR="00886E46" w:rsidRPr="005B032F" w:rsidRDefault="00886E46" w:rsidP="00886E46">
      <w:pPr>
        <w:tabs>
          <w:tab w:val="left" w:leader="underscore" w:pos="9639"/>
        </w:tabs>
        <w:spacing w:after="0" w:line="240" w:lineRule="auto"/>
        <w:jc w:val="both"/>
        <w:rPr>
          <w:rFonts w:ascii="Arial" w:hAnsi="Arial" w:cs="Arial"/>
          <w:sz w:val="20"/>
          <w:szCs w:val="20"/>
          <w:u w:val="single"/>
        </w:rPr>
      </w:pPr>
      <w:r w:rsidRPr="005B032F">
        <w:rPr>
          <w:rFonts w:ascii="Arial" w:hAnsi="Arial" w:cs="Arial"/>
          <w:sz w:val="20"/>
          <w:szCs w:val="20"/>
          <w:u w:val="single"/>
        </w:rPr>
        <w:t>“Esta nota no le aplica al ente público” no realizamos movimientos que los afecten.</w:t>
      </w:r>
    </w:p>
    <w:p w14:paraId="54FFA38F" w14:textId="77777777" w:rsidR="007D1E76" w:rsidRPr="005B032F" w:rsidRDefault="007D1E76" w:rsidP="00CB41C4">
      <w:pPr>
        <w:tabs>
          <w:tab w:val="left" w:leader="underscore" w:pos="9639"/>
        </w:tabs>
        <w:spacing w:after="0" w:line="240" w:lineRule="auto"/>
        <w:jc w:val="both"/>
        <w:rPr>
          <w:rFonts w:ascii="Arial" w:hAnsi="Arial" w:cs="Arial"/>
          <w:sz w:val="20"/>
          <w:szCs w:val="20"/>
          <w:u w:val="single"/>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6D39CD3" w14:textId="77777777" w:rsidR="00886E46" w:rsidRPr="005B032F" w:rsidRDefault="00886E46" w:rsidP="00886E46">
      <w:pPr>
        <w:tabs>
          <w:tab w:val="left" w:leader="underscore" w:pos="9639"/>
        </w:tabs>
        <w:spacing w:after="0" w:line="240" w:lineRule="auto"/>
        <w:jc w:val="both"/>
        <w:rPr>
          <w:rFonts w:ascii="Arial" w:hAnsi="Arial" w:cs="Arial"/>
          <w:sz w:val="20"/>
          <w:szCs w:val="20"/>
          <w:u w:val="single"/>
        </w:rPr>
      </w:pPr>
      <w:r w:rsidRPr="005B032F">
        <w:rPr>
          <w:rFonts w:ascii="Arial" w:hAnsi="Arial" w:cs="Arial"/>
          <w:sz w:val="20"/>
          <w:szCs w:val="20"/>
          <w:u w:val="single"/>
        </w:rPr>
        <w:t>“Esta nota no le aplica al ente público” no realizamos movimientos que los afecten.</w:t>
      </w:r>
    </w:p>
    <w:p w14:paraId="7F33FA3A" w14:textId="77777777" w:rsidR="00886E46" w:rsidRPr="005B032F" w:rsidRDefault="00886E46" w:rsidP="00886E46">
      <w:pPr>
        <w:tabs>
          <w:tab w:val="left" w:leader="underscore" w:pos="9639"/>
        </w:tabs>
        <w:spacing w:after="0" w:line="240" w:lineRule="auto"/>
        <w:jc w:val="both"/>
        <w:rPr>
          <w:rFonts w:ascii="Arial" w:hAnsi="Arial" w:cs="Arial"/>
          <w:sz w:val="20"/>
          <w:szCs w:val="20"/>
          <w:u w:val="single"/>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C68CB6E" w14:textId="77777777" w:rsidR="005B032F" w:rsidRPr="005B032F" w:rsidRDefault="005B032F" w:rsidP="005B032F">
      <w:pPr>
        <w:tabs>
          <w:tab w:val="left" w:leader="underscore" w:pos="9639"/>
        </w:tabs>
        <w:spacing w:after="0" w:line="240" w:lineRule="auto"/>
        <w:jc w:val="both"/>
        <w:rPr>
          <w:rFonts w:ascii="Arial" w:hAnsi="Arial" w:cs="Arial"/>
          <w:sz w:val="20"/>
          <w:szCs w:val="20"/>
          <w:u w:val="single"/>
        </w:rPr>
      </w:pPr>
      <w:r w:rsidRPr="005B032F">
        <w:rPr>
          <w:rFonts w:ascii="Arial" w:hAnsi="Arial" w:cs="Arial"/>
          <w:sz w:val="20"/>
          <w:szCs w:val="20"/>
          <w:u w:val="single"/>
        </w:rPr>
        <w:t>“Esta nota no le aplica al ente público” no realizamos movimientos que los afecten.</w:t>
      </w:r>
    </w:p>
    <w:p w14:paraId="5B51256F" w14:textId="77777777" w:rsidR="005B032F" w:rsidRPr="005B032F" w:rsidRDefault="005B032F" w:rsidP="005B032F">
      <w:pPr>
        <w:tabs>
          <w:tab w:val="left" w:leader="underscore" w:pos="9639"/>
        </w:tabs>
        <w:spacing w:after="0" w:line="240" w:lineRule="auto"/>
        <w:jc w:val="both"/>
        <w:rPr>
          <w:rFonts w:ascii="Arial" w:hAnsi="Arial" w:cs="Arial"/>
          <w:sz w:val="20"/>
          <w:szCs w:val="20"/>
          <w:u w:val="single"/>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4D659BA" w14:textId="77777777" w:rsidR="00886E46" w:rsidRPr="005B032F" w:rsidRDefault="00886E46" w:rsidP="00886E46">
      <w:pPr>
        <w:tabs>
          <w:tab w:val="left" w:leader="underscore" w:pos="9639"/>
        </w:tabs>
        <w:spacing w:after="0" w:line="240" w:lineRule="auto"/>
        <w:jc w:val="both"/>
        <w:rPr>
          <w:rFonts w:ascii="Arial" w:hAnsi="Arial" w:cs="Arial"/>
          <w:sz w:val="20"/>
          <w:szCs w:val="20"/>
          <w:u w:val="single"/>
        </w:rPr>
      </w:pPr>
      <w:r w:rsidRPr="005B032F">
        <w:rPr>
          <w:rFonts w:ascii="Arial" w:hAnsi="Arial" w:cs="Arial"/>
          <w:sz w:val="20"/>
          <w:szCs w:val="20"/>
          <w:u w:val="single"/>
        </w:rPr>
        <w:t>“Esta nota no le aplica al ente público” no realizamos movimientos que los afecten.</w:t>
      </w:r>
    </w:p>
    <w:p w14:paraId="63BA699C" w14:textId="77777777" w:rsidR="007D1E76" w:rsidRPr="005B032F" w:rsidRDefault="007D1E76" w:rsidP="00CB41C4">
      <w:pPr>
        <w:tabs>
          <w:tab w:val="left" w:leader="underscore" w:pos="9639"/>
        </w:tabs>
        <w:spacing w:after="0" w:line="240" w:lineRule="auto"/>
        <w:jc w:val="both"/>
        <w:rPr>
          <w:rFonts w:ascii="Arial" w:hAnsi="Arial" w:cs="Arial"/>
          <w:sz w:val="20"/>
          <w:szCs w:val="20"/>
          <w:u w:val="single"/>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84235532"/>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BF5EBF8" w14:textId="54AD45CB" w:rsidR="00886E46" w:rsidRPr="008F0698" w:rsidRDefault="002558CF" w:rsidP="005B032F">
      <w:pPr>
        <w:tabs>
          <w:tab w:val="left" w:leader="underscore" w:pos="9639"/>
        </w:tabs>
        <w:spacing w:after="0" w:line="240" w:lineRule="auto"/>
        <w:jc w:val="both"/>
        <w:rPr>
          <w:rFonts w:ascii="Arial" w:hAnsi="Arial" w:cs="Arial"/>
          <w:sz w:val="20"/>
          <w:szCs w:val="20"/>
          <w:u w:val="single"/>
        </w:rPr>
      </w:pPr>
      <w:r w:rsidRPr="002558CF">
        <w:rPr>
          <w:rFonts w:ascii="Arial" w:hAnsi="Arial" w:cs="Arial"/>
          <w:sz w:val="20"/>
          <w:szCs w:val="20"/>
          <w:u w:val="single"/>
        </w:rPr>
        <w:t xml:space="preserve">De manera anual se deprecian de la siguiente manera: </w:t>
      </w:r>
      <w:r w:rsidR="00886E46" w:rsidRPr="002558CF">
        <w:rPr>
          <w:rFonts w:ascii="Arial" w:hAnsi="Arial" w:cs="Arial"/>
          <w:sz w:val="20"/>
          <w:szCs w:val="20"/>
          <w:u w:val="single"/>
        </w:rPr>
        <w:t>M</w:t>
      </w:r>
      <w:r w:rsidRPr="002558CF">
        <w:rPr>
          <w:rFonts w:ascii="Arial" w:hAnsi="Arial" w:cs="Arial"/>
          <w:sz w:val="20"/>
          <w:szCs w:val="20"/>
          <w:u w:val="single"/>
        </w:rPr>
        <w:t>uebles de Oficina 10%, Equipo de Cómputo 33.3</w:t>
      </w:r>
      <w:r w:rsidR="00886E46" w:rsidRPr="002558CF">
        <w:rPr>
          <w:rFonts w:ascii="Arial" w:hAnsi="Arial" w:cs="Arial"/>
          <w:sz w:val="20"/>
          <w:szCs w:val="20"/>
          <w:u w:val="single"/>
        </w:rPr>
        <w:t>%</w:t>
      </w:r>
      <w:r w:rsidRPr="002558CF">
        <w:rPr>
          <w:rFonts w:ascii="Arial" w:hAnsi="Arial" w:cs="Arial"/>
          <w:sz w:val="20"/>
          <w:szCs w:val="20"/>
          <w:u w:val="single"/>
        </w:rPr>
        <w:t xml:space="preserve"> Otros Equipos de Administración 10%, Cámaras Fotográficas y de Video 33.3%, Equipo e Instrumental de Laboratorio 20%, Automóviles y Equipo Terrestre 20%, Maquinaria y Equipo Industrial 10%, Maquinaria de Construcción</w:t>
      </w:r>
      <w:r>
        <w:rPr>
          <w:rFonts w:ascii="Arial" w:hAnsi="Arial" w:cs="Arial"/>
          <w:sz w:val="20"/>
          <w:szCs w:val="20"/>
          <w:u w:val="single"/>
        </w:rPr>
        <w:t xml:space="preserve"> 10%, Equipo de Comunicación 10%, Equipo de Generación Eléctrica 10%, Herramientas 10%. </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5C73D174" w14:textId="7C8947AE" w:rsidR="00886E46" w:rsidRDefault="00886E46" w:rsidP="00886E46">
      <w:pPr>
        <w:tabs>
          <w:tab w:val="left" w:leader="underscore" w:pos="9639"/>
        </w:tabs>
        <w:spacing w:after="0" w:line="240" w:lineRule="auto"/>
        <w:jc w:val="both"/>
        <w:rPr>
          <w:rFonts w:asciiTheme="minorHAnsi" w:hAnsiTheme="minorHAnsi" w:cstheme="minorHAnsi"/>
          <w:sz w:val="24"/>
          <w:szCs w:val="24"/>
          <w:u w:val="single"/>
        </w:rPr>
      </w:pPr>
      <w:r w:rsidRPr="005B032F">
        <w:rPr>
          <w:rFonts w:ascii="Arial" w:hAnsi="Arial" w:cs="Arial"/>
          <w:sz w:val="20"/>
          <w:szCs w:val="20"/>
          <w:u w:val="single"/>
        </w:rPr>
        <w:lastRenderedPageBreak/>
        <w:t>“Esta nota no le aplica al ente público” no realizamos movimientos que los afecten</w:t>
      </w:r>
      <w:r>
        <w:rPr>
          <w:rFonts w:asciiTheme="minorHAnsi" w:hAnsiTheme="minorHAnsi" w:cstheme="minorHAnsi"/>
          <w:sz w:val="24"/>
          <w:szCs w:val="24"/>
          <w:u w:val="single"/>
        </w:rPr>
        <w:t>.</w:t>
      </w:r>
    </w:p>
    <w:p w14:paraId="398FD486" w14:textId="77777777" w:rsidR="00886E46" w:rsidRPr="007653AB" w:rsidRDefault="00886E46" w:rsidP="00886E46">
      <w:pPr>
        <w:tabs>
          <w:tab w:val="left" w:leader="underscore" w:pos="9639"/>
        </w:tabs>
        <w:spacing w:after="0" w:line="240" w:lineRule="auto"/>
        <w:jc w:val="both"/>
        <w:rPr>
          <w:rFonts w:asciiTheme="minorHAnsi" w:hAnsiTheme="minorHAnsi" w:cstheme="minorHAnsi"/>
          <w:sz w:val="24"/>
          <w:szCs w:val="24"/>
          <w:u w:val="single"/>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3507CF9" w14:textId="77777777" w:rsidR="005B032F" w:rsidRDefault="005B032F" w:rsidP="005B032F">
      <w:pPr>
        <w:tabs>
          <w:tab w:val="left" w:leader="underscore" w:pos="9639"/>
        </w:tabs>
        <w:spacing w:after="0" w:line="240" w:lineRule="auto"/>
        <w:jc w:val="both"/>
        <w:rPr>
          <w:rFonts w:asciiTheme="minorHAnsi" w:hAnsiTheme="minorHAnsi" w:cstheme="minorHAnsi"/>
          <w:sz w:val="24"/>
          <w:szCs w:val="24"/>
          <w:u w:val="single"/>
        </w:rPr>
      </w:pPr>
      <w:r w:rsidRPr="005B032F">
        <w:rPr>
          <w:rFonts w:ascii="Arial" w:hAnsi="Arial" w:cs="Arial"/>
          <w:sz w:val="20"/>
          <w:szCs w:val="20"/>
          <w:u w:val="single"/>
        </w:rPr>
        <w:t>“Esta nota no le aplica al ente público” no realizamos movimientos que los afecten</w:t>
      </w:r>
      <w:r>
        <w:rPr>
          <w:rFonts w:asciiTheme="minorHAnsi" w:hAnsiTheme="minorHAnsi" w:cstheme="minorHAnsi"/>
          <w:sz w:val="24"/>
          <w:szCs w:val="24"/>
          <w:u w:val="single"/>
        </w:rPr>
        <w:t>.</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789A1CD" w14:textId="296866F8" w:rsidR="00886E46" w:rsidRPr="008F0698" w:rsidRDefault="00886E46" w:rsidP="00886E46">
      <w:pPr>
        <w:rPr>
          <w:rFonts w:ascii="Arial" w:hAnsi="Arial" w:cs="Arial"/>
          <w:sz w:val="20"/>
          <w:szCs w:val="20"/>
          <w:u w:val="single"/>
        </w:rPr>
      </w:pPr>
      <w:r w:rsidRPr="008F0698">
        <w:rPr>
          <w:rFonts w:ascii="Arial" w:hAnsi="Arial" w:cs="Arial"/>
          <w:sz w:val="20"/>
          <w:szCs w:val="20"/>
          <w:u w:val="single"/>
        </w:rPr>
        <w:t>Los intereses es</w:t>
      </w:r>
      <w:r>
        <w:rPr>
          <w:rFonts w:ascii="Arial" w:hAnsi="Arial" w:cs="Arial"/>
          <w:sz w:val="20"/>
          <w:szCs w:val="20"/>
          <w:u w:val="single"/>
        </w:rPr>
        <w:t xml:space="preserve">tán </w:t>
      </w:r>
      <w:r w:rsidR="005B032F">
        <w:rPr>
          <w:rFonts w:ascii="Arial" w:hAnsi="Arial" w:cs="Arial"/>
          <w:sz w:val="20"/>
          <w:szCs w:val="20"/>
          <w:u w:val="single"/>
        </w:rPr>
        <w:t>ines</w:t>
      </w:r>
      <w:r>
        <w:rPr>
          <w:rFonts w:ascii="Arial" w:hAnsi="Arial" w:cs="Arial"/>
          <w:sz w:val="20"/>
          <w:szCs w:val="20"/>
          <w:u w:val="single"/>
        </w:rPr>
        <w:t xml:space="preserve">tables en un promedio de </w:t>
      </w:r>
      <w:r w:rsidR="005D6A85">
        <w:rPr>
          <w:rFonts w:ascii="Arial" w:hAnsi="Arial" w:cs="Arial"/>
          <w:sz w:val="20"/>
          <w:szCs w:val="20"/>
          <w:u w:val="single"/>
        </w:rPr>
        <w:t>2</w:t>
      </w:r>
      <w:r>
        <w:rPr>
          <w:rFonts w:ascii="Arial" w:hAnsi="Arial" w:cs="Arial"/>
          <w:sz w:val="20"/>
          <w:szCs w:val="20"/>
          <w:u w:val="single"/>
        </w:rPr>
        <w:t>.5</w:t>
      </w:r>
      <w:r w:rsidRPr="008F0698">
        <w:rPr>
          <w:rFonts w:ascii="Arial" w:hAnsi="Arial" w:cs="Arial"/>
          <w:sz w:val="20"/>
          <w:szCs w:val="20"/>
          <w:u w:val="single"/>
        </w:rPr>
        <w:t>% Anual.</w:t>
      </w: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21CD6EA5" w14:textId="77777777" w:rsidR="00886E46" w:rsidRPr="005B032F" w:rsidRDefault="00886E46" w:rsidP="00886E46">
      <w:pPr>
        <w:tabs>
          <w:tab w:val="left" w:leader="underscore" w:pos="9639"/>
        </w:tabs>
        <w:spacing w:after="0" w:line="240" w:lineRule="auto"/>
        <w:jc w:val="both"/>
        <w:rPr>
          <w:rFonts w:ascii="Arial" w:hAnsi="Arial" w:cs="Arial"/>
          <w:sz w:val="20"/>
          <w:szCs w:val="20"/>
          <w:u w:val="single"/>
        </w:rPr>
      </w:pPr>
      <w:r w:rsidRPr="005B032F">
        <w:rPr>
          <w:rFonts w:ascii="Arial" w:hAnsi="Arial" w:cs="Arial"/>
          <w:sz w:val="20"/>
          <w:szCs w:val="20"/>
          <w:u w:val="single"/>
        </w:rPr>
        <w:t>“Esta nota no le aplica al ente público” no realizamos movimientos que los afecten.</w:t>
      </w:r>
    </w:p>
    <w:p w14:paraId="6569FCE5" w14:textId="7437F561" w:rsidR="007D1E76" w:rsidRPr="00E74967" w:rsidRDefault="007D1E76" w:rsidP="00CB41C4">
      <w:pPr>
        <w:tabs>
          <w:tab w:val="left" w:leader="underscore" w:pos="9639"/>
        </w:tabs>
        <w:spacing w:after="0" w:line="240" w:lineRule="auto"/>
        <w:jc w:val="both"/>
        <w:rPr>
          <w:rFonts w:cs="Calibri"/>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E042430" w14:textId="77777777" w:rsidR="005B032F" w:rsidRPr="005B032F" w:rsidRDefault="005B032F" w:rsidP="005B032F">
      <w:pPr>
        <w:tabs>
          <w:tab w:val="left" w:leader="underscore" w:pos="9639"/>
        </w:tabs>
        <w:spacing w:after="0" w:line="240" w:lineRule="auto"/>
        <w:jc w:val="both"/>
        <w:rPr>
          <w:rFonts w:ascii="Arial" w:hAnsi="Arial" w:cs="Arial"/>
          <w:sz w:val="20"/>
          <w:szCs w:val="20"/>
          <w:u w:val="single"/>
        </w:rPr>
      </w:pPr>
      <w:r w:rsidRPr="005B032F">
        <w:rPr>
          <w:rFonts w:ascii="Arial" w:hAnsi="Arial" w:cs="Arial"/>
          <w:sz w:val="20"/>
          <w:szCs w:val="20"/>
          <w:u w:val="single"/>
        </w:rPr>
        <w:t>“Esta nota no le aplica al ente público” no realizamos movimientos que los afecten.</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FED2C05" w14:textId="77777777" w:rsidR="005B032F" w:rsidRPr="005B032F" w:rsidRDefault="005B032F" w:rsidP="005B032F">
      <w:pPr>
        <w:tabs>
          <w:tab w:val="left" w:leader="underscore" w:pos="9639"/>
        </w:tabs>
        <w:spacing w:after="0" w:line="240" w:lineRule="auto"/>
        <w:jc w:val="both"/>
        <w:rPr>
          <w:rFonts w:ascii="Arial" w:hAnsi="Arial" w:cs="Arial"/>
          <w:sz w:val="20"/>
          <w:szCs w:val="20"/>
          <w:u w:val="single"/>
        </w:rPr>
      </w:pPr>
      <w:r w:rsidRPr="005B032F">
        <w:rPr>
          <w:rFonts w:ascii="Arial" w:hAnsi="Arial" w:cs="Arial"/>
          <w:sz w:val="20"/>
          <w:szCs w:val="20"/>
          <w:u w:val="single"/>
        </w:rPr>
        <w:t>“Esta nota no le aplica al ente público” no realizamos movimientos que los afecten.</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DE64299" w14:textId="730F606F" w:rsidR="00886E46" w:rsidRPr="006D67B0" w:rsidRDefault="00886E46" w:rsidP="00886E46">
      <w:pPr>
        <w:pStyle w:val="Prrafodelista"/>
        <w:ind w:left="0"/>
        <w:jc w:val="both"/>
        <w:rPr>
          <w:rFonts w:ascii="Arial" w:hAnsi="Arial" w:cs="Arial"/>
          <w:sz w:val="20"/>
          <w:szCs w:val="20"/>
          <w:u w:val="single"/>
        </w:rPr>
      </w:pPr>
      <w:r w:rsidRPr="006D67B0">
        <w:rPr>
          <w:rFonts w:ascii="Arial" w:hAnsi="Arial" w:cs="Arial"/>
          <w:sz w:val="20"/>
          <w:szCs w:val="20"/>
          <w:u w:val="single"/>
        </w:rPr>
        <w:t>Lineamientos y Políticas para el uso</w:t>
      </w:r>
      <w:r w:rsidR="005B032F">
        <w:rPr>
          <w:rFonts w:ascii="Arial" w:hAnsi="Arial" w:cs="Arial"/>
          <w:sz w:val="20"/>
          <w:szCs w:val="20"/>
          <w:u w:val="single"/>
        </w:rPr>
        <w:t xml:space="preserve"> </w:t>
      </w:r>
      <w:r w:rsidRPr="006D67B0">
        <w:rPr>
          <w:rFonts w:ascii="Arial" w:hAnsi="Arial" w:cs="Arial"/>
          <w:sz w:val="20"/>
          <w:szCs w:val="20"/>
          <w:u w:val="single"/>
        </w:rPr>
        <w:t>mantenimiento y control de los vehículos oficiales, Procedimiento para la recepción entrega preservación y conservación de materiales en almacén, Procedimiento de infraestructura de oficios radios y vehículos, Procedimiento de Administración de activos fijos, Procedimiento de inventarios físicos de activo fijo</w:t>
      </w:r>
      <w:r w:rsidR="005B032F">
        <w:rPr>
          <w:rFonts w:ascii="Arial" w:hAnsi="Arial" w:cs="Arial"/>
          <w:sz w:val="20"/>
          <w:szCs w:val="20"/>
          <w:u w:val="single"/>
        </w:rPr>
        <w:t>.</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316372C9" w14:textId="36AEA497" w:rsidR="005B032F" w:rsidRDefault="007D1E76" w:rsidP="005B032F">
      <w:pPr>
        <w:pStyle w:val="Prrafodelista"/>
        <w:numPr>
          <w:ilvl w:val="0"/>
          <w:numId w:val="2"/>
        </w:numPr>
        <w:tabs>
          <w:tab w:val="left" w:leader="underscore" w:pos="9639"/>
        </w:tabs>
        <w:spacing w:after="0" w:line="240" w:lineRule="auto"/>
        <w:jc w:val="both"/>
        <w:rPr>
          <w:rFonts w:cs="Calibri"/>
        </w:rPr>
      </w:pPr>
      <w:r w:rsidRPr="005B032F">
        <w:rPr>
          <w:rFonts w:cs="Calibri"/>
        </w:rPr>
        <w:t>Inversiones en valores:</w:t>
      </w:r>
    </w:p>
    <w:p w14:paraId="64ECF90A" w14:textId="77777777" w:rsidR="007345EF" w:rsidRPr="005B032F" w:rsidRDefault="007345EF" w:rsidP="007345EF">
      <w:pPr>
        <w:pStyle w:val="Prrafodelista"/>
        <w:tabs>
          <w:tab w:val="left" w:leader="underscore" w:pos="9639"/>
        </w:tabs>
        <w:spacing w:after="0" w:line="240" w:lineRule="auto"/>
        <w:ind w:left="360"/>
        <w:jc w:val="both"/>
        <w:rPr>
          <w:rFonts w:cs="Calibri"/>
        </w:rPr>
      </w:pPr>
    </w:p>
    <w:p w14:paraId="2F075955" w14:textId="1CEB17C3" w:rsidR="007D1E76" w:rsidRPr="005B032F" w:rsidRDefault="005B032F" w:rsidP="005B032F">
      <w:pPr>
        <w:tabs>
          <w:tab w:val="left" w:leader="underscore" w:pos="9639"/>
        </w:tabs>
        <w:spacing w:after="0" w:line="240" w:lineRule="auto"/>
        <w:jc w:val="both"/>
        <w:rPr>
          <w:rFonts w:cs="Calibri"/>
        </w:rPr>
      </w:pPr>
      <w:r w:rsidRPr="005B032F">
        <w:rPr>
          <w:rFonts w:cs="Calibri"/>
        </w:rPr>
        <w:t xml:space="preserve"> </w:t>
      </w:r>
      <w:r w:rsidR="0008586D" w:rsidRPr="0008586D">
        <w:rPr>
          <w:noProof/>
        </w:rPr>
        <w:drawing>
          <wp:inline distT="0" distB="0" distL="0" distR="0" wp14:anchorId="09F85FC2" wp14:editId="536C96CC">
            <wp:extent cx="4037610" cy="801836"/>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8272" cy="805939"/>
                    </a:xfrm>
                    <a:prstGeom prst="rect">
                      <a:avLst/>
                    </a:prstGeom>
                    <a:noFill/>
                    <a:ln>
                      <a:noFill/>
                    </a:ln>
                  </pic:spPr>
                </pic:pic>
              </a:graphicData>
            </a:graphic>
          </wp:inline>
        </w:drawing>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B3D648B" w14:textId="77777777" w:rsidR="00540A12" w:rsidRPr="007345EF" w:rsidRDefault="00540A12" w:rsidP="00540A12">
      <w:pPr>
        <w:tabs>
          <w:tab w:val="left" w:leader="underscore" w:pos="9639"/>
        </w:tabs>
        <w:spacing w:after="0" w:line="240" w:lineRule="auto"/>
        <w:jc w:val="both"/>
        <w:rPr>
          <w:rFonts w:ascii="Arial" w:hAnsi="Arial" w:cs="Arial"/>
          <w:sz w:val="20"/>
          <w:szCs w:val="20"/>
          <w:u w:val="single"/>
        </w:rPr>
      </w:pPr>
      <w:r w:rsidRPr="007345EF">
        <w:rPr>
          <w:rFonts w:ascii="Arial" w:hAnsi="Arial" w:cs="Arial"/>
          <w:sz w:val="20"/>
          <w:szCs w:val="20"/>
          <w:u w:val="single"/>
        </w:rPr>
        <w:t>“Esta nota no le aplica al ente público” no realizamos movimientos que los afecten.</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4261F9A0" w14:textId="77777777" w:rsidR="007345EF" w:rsidRPr="007345EF" w:rsidRDefault="007345EF" w:rsidP="007345EF">
      <w:pPr>
        <w:tabs>
          <w:tab w:val="left" w:leader="underscore" w:pos="9639"/>
        </w:tabs>
        <w:spacing w:after="0" w:line="240" w:lineRule="auto"/>
        <w:jc w:val="both"/>
        <w:rPr>
          <w:rFonts w:ascii="Arial" w:hAnsi="Arial" w:cs="Arial"/>
          <w:sz w:val="20"/>
          <w:szCs w:val="20"/>
          <w:u w:val="single"/>
        </w:rPr>
      </w:pPr>
      <w:r w:rsidRPr="007345EF">
        <w:rPr>
          <w:rFonts w:ascii="Arial" w:hAnsi="Arial" w:cs="Arial"/>
          <w:sz w:val="20"/>
          <w:szCs w:val="20"/>
          <w:u w:val="single"/>
        </w:rPr>
        <w:t>“Esta nota no le aplica al ente público” no realizamos movimientos que los afecten.</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3B239AE" w14:textId="77777777" w:rsidR="007345EF" w:rsidRPr="007345EF" w:rsidRDefault="007345EF" w:rsidP="007345EF">
      <w:pPr>
        <w:tabs>
          <w:tab w:val="left" w:leader="underscore" w:pos="9639"/>
        </w:tabs>
        <w:spacing w:after="0" w:line="240" w:lineRule="auto"/>
        <w:jc w:val="both"/>
        <w:rPr>
          <w:rFonts w:ascii="Arial" w:hAnsi="Arial" w:cs="Arial"/>
          <w:sz w:val="20"/>
          <w:szCs w:val="20"/>
          <w:u w:val="single"/>
        </w:rPr>
      </w:pPr>
      <w:r w:rsidRPr="007345EF">
        <w:rPr>
          <w:rFonts w:ascii="Arial" w:hAnsi="Arial" w:cs="Arial"/>
          <w:sz w:val="20"/>
          <w:szCs w:val="20"/>
          <w:u w:val="single"/>
        </w:rPr>
        <w:t>“Esta nota no le aplica al ente público” no realizamos movimientos que los afecten.</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75B97C9" w14:textId="77777777" w:rsidR="007345EF" w:rsidRPr="007345EF" w:rsidRDefault="007345EF" w:rsidP="007345EF">
      <w:pPr>
        <w:tabs>
          <w:tab w:val="left" w:leader="underscore" w:pos="9639"/>
        </w:tabs>
        <w:spacing w:after="0" w:line="240" w:lineRule="auto"/>
        <w:jc w:val="both"/>
        <w:rPr>
          <w:rFonts w:ascii="Arial" w:hAnsi="Arial" w:cs="Arial"/>
          <w:sz w:val="20"/>
          <w:szCs w:val="20"/>
          <w:u w:val="single"/>
        </w:rPr>
      </w:pPr>
      <w:r w:rsidRPr="007345EF">
        <w:rPr>
          <w:rFonts w:ascii="Arial" w:hAnsi="Arial" w:cs="Arial"/>
          <w:sz w:val="20"/>
          <w:szCs w:val="20"/>
          <w:u w:val="single"/>
        </w:rPr>
        <w:t>“Esta nota no le aplica al ente público” no realizamos movimientos que los afecten.</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84235533"/>
      <w:r w:rsidRPr="000C3365">
        <w:rPr>
          <w:rFonts w:asciiTheme="minorHAnsi" w:hAnsiTheme="minorHAnsi" w:cstheme="minorHAnsi"/>
          <w:b/>
          <w:color w:val="auto"/>
          <w:sz w:val="22"/>
        </w:rPr>
        <w:lastRenderedPageBreak/>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FDAD01C" w14:textId="77777777" w:rsidR="007345EF" w:rsidRPr="007345EF" w:rsidRDefault="007345EF" w:rsidP="007345EF">
      <w:pPr>
        <w:tabs>
          <w:tab w:val="left" w:leader="underscore" w:pos="9639"/>
        </w:tabs>
        <w:spacing w:after="0" w:line="240" w:lineRule="auto"/>
        <w:jc w:val="both"/>
        <w:rPr>
          <w:rFonts w:ascii="Arial" w:hAnsi="Arial" w:cs="Arial"/>
          <w:sz w:val="20"/>
          <w:szCs w:val="20"/>
          <w:u w:val="single"/>
        </w:rPr>
      </w:pPr>
      <w:r w:rsidRPr="007345EF">
        <w:rPr>
          <w:rFonts w:ascii="Arial" w:hAnsi="Arial" w:cs="Arial"/>
          <w:sz w:val="20"/>
          <w:szCs w:val="20"/>
          <w:u w:val="single"/>
        </w:rPr>
        <w:t>“Esta nota no le aplica al ente público” no realizamos movimientos que los afecten.</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86EB710" w14:textId="77777777" w:rsidR="007345EF" w:rsidRPr="007345EF" w:rsidRDefault="007345EF" w:rsidP="007345EF">
      <w:pPr>
        <w:tabs>
          <w:tab w:val="left" w:leader="underscore" w:pos="9639"/>
        </w:tabs>
        <w:spacing w:after="0" w:line="240" w:lineRule="auto"/>
        <w:jc w:val="both"/>
        <w:rPr>
          <w:rFonts w:ascii="Arial" w:hAnsi="Arial" w:cs="Arial"/>
          <w:sz w:val="20"/>
          <w:szCs w:val="20"/>
          <w:u w:val="single"/>
        </w:rPr>
      </w:pPr>
      <w:r w:rsidRPr="007345EF">
        <w:rPr>
          <w:rFonts w:ascii="Arial" w:hAnsi="Arial" w:cs="Arial"/>
          <w:sz w:val="20"/>
          <w:szCs w:val="20"/>
          <w:u w:val="single"/>
        </w:rPr>
        <w:t>“Esta nota no le aplica al ente público” no realizamos movimientos que los afecten.</w:t>
      </w:r>
    </w:p>
    <w:p w14:paraId="5AE57259" w14:textId="334AEA7E" w:rsidR="007D1E76" w:rsidRDefault="007D1E76" w:rsidP="00CB41C4">
      <w:pPr>
        <w:tabs>
          <w:tab w:val="left" w:leader="underscore" w:pos="9639"/>
        </w:tabs>
        <w:spacing w:after="0" w:line="240" w:lineRule="auto"/>
        <w:jc w:val="both"/>
        <w:rPr>
          <w:rFonts w:cs="Calibri"/>
        </w:rPr>
      </w:pPr>
    </w:p>
    <w:p w14:paraId="5C129FB7" w14:textId="5186154F" w:rsidR="00AB53F1" w:rsidRDefault="00AB53F1" w:rsidP="00CB41C4">
      <w:pPr>
        <w:tabs>
          <w:tab w:val="left" w:leader="underscore" w:pos="9639"/>
        </w:tabs>
        <w:spacing w:after="0" w:line="240" w:lineRule="auto"/>
        <w:jc w:val="both"/>
        <w:rPr>
          <w:rFonts w:cs="Calibri"/>
        </w:rPr>
      </w:pPr>
    </w:p>
    <w:p w14:paraId="472396C3" w14:textId="012C2F57" w:rsidR="00AB53F1" w:rsidRPr="000C3365" w:rsidRDefault="00AB53F1" w:rsidP="00AB53F1">
      <w:pPr>
        <w:pStyle w:val="Ttulo2"/>
        <w:rPr>
          <w:rFonts w:asciiTheme="minorHAnsi" w:hAnsiTheme="minorHAnsi" w:cstheme="minorHAnsi"/>
          <w:b/>
          <w:color w:val="auto"/>
          <w:sz w:val="22"/>
        </w:rPr>
      </w:pPr>
      <w:r>
        <w:rPr>
          <w:rFonts w:asciiTheme="minorHAnsi" w:hAnsiTheme="minorHAnsi" w:cstheme="minorHAnsi"/>
          <w:b/>
          <w:color w:val="auto"/>
          <w:sz w:val="22"/>
        </w:rPr>
        <w:t>10</w:t>
      </w:r>
      <w:r w:rsidRPr="000C3365">
        <w:rPr>
          <w:rFonts w:asciiTheme="minorHAnsi" w:hAnsiTheme="minorHAnsi" w:cstheme="minorHAnsi"/>
          <w:b/>
          <w:color w:val="auto"/>
          <w:sz w:val="22"/>
        </w:rPr>
        <w:t xml:space="preserve">. </w:t>
      </w:r>
      <w:r>
        <w:rPr>
          <w:rFonts w:asciiTheme="minorHAnsi" w:hAnsiTheme="minorHAnsi" w:cstheme="minorHAnsi"/>
          <w:b/>
          <w:color w:val="auto"/>
          <w:sz w:val="22"/>
        </w:rPr>
        <w:t>Reporte de la Recaudación</w:t>
      </w:r>
      <w:r w:rsidRPr="000C3365">
        <w:rPr>
          <w:rFonts w:asciiTheme="minorHAnsi" w:hAnsiTheme="minorHAnsi" w:cstheme="minorHAnsi"/>
          <w:b/>
          <w:color w:val="auto"/>
          <w:sz w:val="22"/>
        </w:rPr>
        <w:t>:</w:t>
      </w:r>
    </w:p>
    <w:p w14:paraId="3B5B9AA5" w14:textId="77777777" w:rsidR="00AB53F1" w:rsidRPr="00E74967" w:rsidRDefault="00AB53F1" w:rsidP="00AB53F1">
      <w:pPr>
        <w:tabs>
          <w:tab w:val="left" w:leader="underscore" w:pos="9639"/>
        </w:tabs>
        <w:spacing w:after="0" w:line="240" w:lineRule="auto"/>
        <w:jc w:val="both"/>
        <w:rPr>
          <w:rFonts w:cs="Calibri"/>
        </w:rPr>
      </w:pPr>
    </w:p>
    <w:p w14:paraId="444883AF" w14:textId="77777777" w:rsidR="00AB53F1" w:rsidRPr="00E74967" w:rsidRDefault="00AB53F1" w:rsidP="00AB53F1">
      <w:pPr>
        <w:tabs>
          <w:tab w:val="left" w:leader="underscore" w:pos="9639"/>
        </w:tabs>
        <w:spacing w:after="0" w:line="240" w:lineRule="auto"/>
        <w:jc w:val="both"/>
        <w:rPr>
          <w:rFonts w:cs="Calibri"/>
        </w:rPr>
      </w:pPr>
      <w:r w:rsidRPr="00E74967">
        <w:rPr>
          <w:rFonts w:cs="Calibri"/>
        </w:rPr>
        <w:t>Se deberá informar:</w:t>
      </w:r>
    </w:p>
    <w:p w14:paraId="2CF09EF3" w14:textId="77777777" w:rsidR="00AB53F1" w:rsidRPr="00E74967" w:rsidRDefault="00AB53F1" w:rsidP="00AB53F1">
      <w:pPr>
        <w:tabs>
          <w:tab w:val="left" w:leader="underscore" w:pos="9639"/>
        </w:tabs>
        <w:spacing w:after="0" w:line="240" w:lineRule="auto"/>
        <w:jc w:val="both"/>
        <w:rPr>
          <w:rFonts w:cs="Calibri"/>
        </w:rPr>
      </w:pPr>
    </w:p>
    <w:p w14:paraId="10B92929" w14:textId="09906B7F" w:rsidR="0008586D" w:rsidRPr="0008586D" w:rsidRDefault="0008586D" w:rsidP="0008586D">
      <w:pPr>
        <w:pStyle w:val="Prrafodelista"/>
        <w:numPr>
          <w:ilvl w:val="0"/>
          <w:numId w:val="5"/>
        </w:numPr>
        <w:shd w:val="clear" w:color="auto" w:fill="FFFFFF"/>
        <w:spacing w:after="0" w:line="240" w:lineRule="auto"/>
        <w:rPr>
          <w:rFonts w:eastAsia="Times New Roman" w:cs="Calibri"/>
          <w:color w:val="000000"/>
          <w:sz w:val="24"/>
          <w:szCs w:val="24"/>
          <w:lang w:eastAsia="es-MX"/>
        </w:rPr>
      </w:pPr>
      <w:r w:rsidRPr="0008586D">
        <w:rPr>
          <w:rFonts w:ascii="Arial" w:eastAsia="Times New Roman" w:hAnsi="Arial" w:cs="Arial"/>
          <w:color w:val="000000"/>
          <w:sz w:val="20"/>
          <w:szCs w:val="20"/>
          <w:lang w:eastAsia="es-MX"/>
        </w:rPr>
        <w:t>Análisis del comportamiento de la recaudación correspondiente al ente público o cualquier tipo de ingreso, de forma separada los ingresos locales de los federales:</w:t>
      </w:r>
    </w:p>
    <w:p w14:paraId="0478AE19" w14:textId="77777777" w:rsidR="0008586D" w:rsidRPr="0008586D" w:rsidRDefault="0008586D" w:rsidP="0008586D">
      <w:pPr>
        <w:pStyle w:val="Prrafodelista"/>
        <w:shd w:val="clear" w:color="auto" w:fill="FFFFFF"/>
        <w:spacing w:after="0" w:line="240" w:lineRule="auto"/>
        <w:rPr>
          <w:rFonts w:eastAsia="Times New Roman" w:cs="Calibri"/>
          <w:color w:val="000000"/>
          <w:sz w:val="24"/>
          <w:szCs w:val="24"/>
          <w:lang w:eastAsia="es-MX"/>
        </w:rPr>
      </w:pPr>
    </w:p>
    <w:p w14:paraId="2A6CD726" w14:textId="24BBA916" w:rsidR="0008586D" w:rsidRDefault="0008586D" w:rsidP="0008586D">
      <w:pPr>
        <w:shd w:val="clear" w:color="auto" w:fill="FFFFFF"/>
        <w:spacing w:after="0" w:line="240" w:lineRule="auto"/>
        <w:rPr>
          <w:rFonts w:ascii="Arial" w:eastAsia="Times New Roman" w:hAnsi="Arial" w:cs="Arial"/>
          <w:color w:val="000000"/>
          <w:sz w:val="20"/>
          <w:szCs w:val="20"/>
          <w:u w:val="single"/>
          <w:lang w:eastAsia="es-MX"/>
        </w:rPr>
      </w:pPr>
      <w:r w:rsidRPr="0008586D">
        <w:rPr>
          <w:rFonts w:ascii="Arial" w:eastAsia="Times New Roman" w:hAnsi="Arial" w:cs="Arial"/>
          <w:color w:val="000000"/>
          <w:sz w:val="20"/>
          <w:szCs w:val="20"/>
          <w:u w:val="single"/>
          <w:lang w:eastAsia="es-MX"/>
        </w:rPr>
        <w:t>En el mes de</w:t>
      </w:r>
      <w:r w:rsidRPr="0008586D">
        <w:rPr>
          <w:rFonts w:ascii="Arial" w:eastAsia="Times New Roman" w:hAnsi="Arial" w:cs="Arial"/>
          <w:b/>
          <w:bCs/>
          <w:color w:val="000000"/>
          <w:sz w:val="20"/>
          <w:szCs w:val="20"/>
          <w:u w:val="single"/>
          <w:lang w:eastAsia="es-MX"/>
        </w:rPr>
        <w:t> Septiembre del 2021</w:t>
      </w:r>
      <w:r w:rsidRPr="0008586D">
        <w:rPr>
          <w:rFonts w:ascii="Arial" w:eastAsia="Times New Roman" w:hAnsi="Arial" w:cs="Arial"/>
          <w:color w:val="000000"/>
          <w:sz w:val="20"/>
          <w:szCs w:val="20"/>
          <w:u w:val="single"/>
          <w:lang w:eastAsia="es-MX"/>
        </w:rPr>
        <w:t> se obtuvo una recaudación acumulada de </w:t>
      </w:r>
      <w:r w:rsidRPr="0008586D">
        <w:rPr>
          <w:rFonts w:ascii="Arial" w:eastAsia="Times New Roman" w:hAnsi="Arial" w:cs="Arial"/>
          <w:b/>
          <w:bCs/>
          <w:color w:val="000000"/>
          <w:sz w:val="20"/>
          <w:szCs w:val="20"/>
          <w:u w:val="single"/>
          <w:lang w:eastAsia="es-MX"/>
        </w:rPr>
        <w:t>$243,690,132.18 </w:t>
      </w:r>
      <w:r w:rsidRPr="0008586D">
        <w:rPr>
          <w:rFonts w:ascii="Arial" w:eastAsia="Times New Roman" w:hAnsi="Arial" w:cs="Arial"/>
          <w:color w:val="000000"/>
          <w:sz w:val="20"/>
          <w:szCs w:val="20"/>
          <w:u w:val="single"/>
          <w:lang w:eastAsia="es-MX"/>
        </w:rPr>
        <w:t>(98.90</w:t>
      </w:r>
      <w:r w:rsidRPr="0008586D">
        <w:rPr>
          <w:rFonts w:ascii="Arial" w:eastAsia="Times New Roman" w:hAnsi="Arial" w:cs="Arial"/>
          <w:b/>
          <w:bCs/>
          <w:color w:val="000000"/>
          <w:sz w:val="20"/>
          <w:szCs w:val="20"/>
          <w:u w:val="single"/>
          <w:lang w:eastAsia="es-MX"/>
        </w:rPr>
        <w:t>%</w:t>
      </w:r>
      <w:r w:rsidRPr="0008586D">
        <w:rPr>
          <w:rFonts w:ascii="Arial" w:eastAsia="Times New Roman" w:hAnsi="Arial" w:cs="Arial"/>
          <w:color w:val="000000"/>
          <w:sz w:val="20"/>
          <w:szCs w:val="20"/>
          <w:u w:val="single"/>
          <w:lang w:eastAsia="es-MX"/>
        </w:rPr>
        <w:t> de lo presupuestado) por el cobro de los servicios de agua potable, alcantarillado y saneamiento correspondiente al mes de referencia.</w:t>
      </w:r>
    </w:p>
    <w:p w14:paraId="4E5266B7" w14:textId="77777777" w:rsidR="0008586D" w:rsidRPr="0008586D" w:rsidRDefault="0008586D" w:rsidP="0008586D">
      <w:pPr>
        <w:shd w:val="clear" w:color="auto" w:fill="FFFFFF"/>
        <w:spacing w:after="0" w:line="240" w:lineRule="auto"/>
        <w:rPr>
          <w:rFonts w:eastAsia="Times New Roman" w:cs="Calibri"/>
          <w:color w:val="000000"/>
          <w:sz w:val="24"/>
          <w:szCs w:val="24"/>
          <w:lang w:eastAsia="es-MX"/>
        </w:rPr>
      </w:pPr>
    </w:p>
    <w:p w14:paraId="2C868AB2" w14:textId="60643852" w:rsidR="0008586D" w:rsidRPr="0008586D" w:rsidRDefault="0008586D" w:rsidP="0008586D">
      <w:pPr>
        <w:pStyle w:val="Prrafodelista"/>
        <w:numPr>
          <w:ilvl w:val="0"/>
          <w:numId w:val="5"/>
        </w:numPr>
        <w:shd w:val="clear" w:color="auto" w:fill="FFFFFF"/>
        <w:spacing w:after="0" w:line="240" w:lineRule="auto"/>
        <w:rPr>
          <w:rFonts w:eastAsia="Times New Roman" w:cs="Calibri"/>
          <w:color w:val="000000"/>
          <w:sz w:val="24"/>
          <w:szCs w:val="24"/>
          <w:lang w:eastAsia="es-MX"/>
        </w:rPr>
      </w:pPr>
      <w:r w:rsidRPr="0008586D">
        <w:rPr>
          <w:rFonts w:ascii="Arial" w:eastAsia="Times New Roman" w:hAnsi="Arial" w:cs="Arial"/>
          <w:color w:val="000000"/>
          <w:sz w:val="20"/>
          <w:szCs w:val="20"/>
          <w:lang w:eastAsia="es-MX"/>
        </w:rPr>
        <w:t>Proyección de la recaudación e ingresos en el mediano plazo:</w:t>
      </w:r>
    </w:p>
    <w:p w14:paraId="7FD18BCF" w14:textId="77777777" w:rsidR="0008586D" w:rsidRPr="0008586D" w:rsidRDefault="0008586D" w:rsidP="0008586D">
      <w:pPr>
        <w:pStyle w:val="Prrafodelista"/>
        <w:shd w:val="clear" w:color="auto" w:fill="FFFFFF"/>
        <w:spacing w:after="0" w:line="240" w:lineRule="auto"/>
        <w:rPr>
          <w:rFonts w:eastAsia="Times New Roman" w:cs="Calibri"/>
          <w:color w:val="000000"/>
          <w:sz w:val="24"/>
          <w:szCs w:val="24"/>
          <w:lang w:eastAsia="es-MX"/>
        </w:rPr>
      </w:pPr>
    </w:p>
    <w:p w14:paraId="4083A9DA" w14:textId="77777777" w:rsidR="0008586D" w:rsidRPr="0008586D" w:rsidRDefault="0008586D" w:rsidP="0008586D">
      <w:pPr>
        <w:shd w:val="clear" w:color="auto" w:fill="FFFFFF"/>
        <w:spacing w:after="0" w:line="240" w:lineRule="auto"/>
        <w:rPr>
          <w:rFonts w:eastAsia="Times New Roman" w:cs="Calibri"/>
          <w:color w:val="000000"/>
          <w:sz w:val="24"/>
          <w:szCs w:val="24"/>
          <w:lang w:eastAsia="es-MX"/>
        </w:rPr>
      </w:pPr>
      <w:r w:rsidRPr="0008586D">
        <w:rPr>
          <w:rFonts w:ascii="Arial" w:eastAsia="Times New Roman" w:hAnsi="Arial" w:cs="Arial"/>
          <w:color w:val="000000"/>
          <w:sz w:val="20"/>
          <w:szCs w:val="20"/>
          <w:u w:val="single"/>
          <w:lang w:eastAsia="es-MX"/>
        </w:rPr>
        <w:t>Se proyecta recaudar un total de </w:t>
      </w:r>
      <w:r w:rsidRPr="0008586D">
        <w:rPr>
          <w:rFonts w:ascii="Arial" w:eastAsia="Times New Roman" w:hAnsi="Arial" w:cs="Arial"/>
          <w:b/>
          <w:bCs/>
          <w:color w:val="000000"/>
          <w:sz w:val="20"/>
          <w:szCs w:val="20"/>
          <w:u w:val="single"/>
          <w:lang w:eastAsia="es-MX"/>
        </w:rPr>
        <w:t>$547,893,911.45</w:t>
      </w:r>
      <w:r w:rsidRPr="0008586D">
        <w:rPr>
          <w:rFonts w:ascii="Arial" w:eastAsia="Times New Roman" w:hAnsi="Arial" w:cs="Arial"/>
          <w:color w:val="000000"/>
          <w:sz w:val="20"/>
          <w:szCs w:val="20"/>
          <w:u w:val="single"/>
          <w:lang w:eastAsia="es-MX"/>
        </w:rPr>
        <w:t> en todo el año por el servicio de agua potable y alcantarillado y cobro por los demás servicios que prestamos como son: cobro de derechos, contratos, instalaciones de toma y de descargas y la recuperación de rezago por los adeudos de los servicios de agua potable y alcantarillado. Al cierre de </w:t>
      </w:r>
      <w:r w:rsidRPr="0008586D">
        <w:rPr>
          <w:rFonts w:ascii="Arial" w:eastAsia="Times New Roman" w:hAnsi="Arial" w:cs="Arial"/>
          <w:b/>
          <w:bCs/>
          <w:color w:val="000000"/>
          <w:sz w:val="20"/>
          <w:szCs w:val="20"/>
          <w:u w:val="single"/>
          <w:lang w:eastAsia="es-MX"/>
        </w:rPr>
        <w:t>Septiembre del 2021</w:t>
      </w:r>
      <w:r w:rsidRPr="0008586D">
        <w:rPr>
          <w:rFonts w:ascii="Arial" w:eastAsia="Times New Roman" w:hAnsi="Arial" w:cs="Arial"/>
          <w:color w:val="000000"/>
          <w:sz w:val="20"/>
          <w:szCs w:val="20"/>
          <w:u w:val="single"/>
          <w:lang w:eastAsia="es-MX"/>
        </w:rPr>
        <w:t>, se logró recaudar un total de </w:t>
      </w:r>
      <w:r w:rsidRPr="0008586D">
        <w:rPr>
          <w:rFonts w:ascii="Arial" w:eastAsia="Times New Roman" w:hAnsi="Arial" w:cs="Arial"/>
          <w:b/>
          <w:bCs/>
          <w:color w:val="000000"/>
          <w:sz w:val="20"/>
          <w:szCs w:val="20"/>
          <w:u w:val="single"/>
          <w:lang w:eastAsia="es-MX"/>
        </w:rPr>
        <w:t>$420,213,817.57  </w:t>
      </w:r>
      <w:r w:rsidRPr="0008586D">
        <w:rPr>
          <w:rFonts w:ascii="Arial" w:eastAsia="Times New Roman" w:hAnsi="Arial" w:cs="Arial"/>
          <w:color w:val="000000"/>
          <w:sz w:val="20"/>
          <w:szCs w:val="20"/>
          <w:u w:val="single"/>
          <w:lang w:val="es-ES" w:eastAsia="es-MX"/>
        </w:rPr>
        <w:t>Lo anterior representa un 76.70</w:t>
      </w:r>
      <w:r w:rsidRPr="0008586D">
        <w:rPr>
          <w:rFonts w:ascii="Arial" w:eastAsia="Times New Roman" w:hAnsi="Arial" w:cs="Arial"/>
          <w:b/>
          <w:bCs/>
          <w:color w:val="000000"/>
          <w:sz w:val="20"/>
          <w:szCs w:val="20"/>
          <w:u w:val="single"/>
          <w:lang w:val="es-ES" w:eastAsia="es-MX"/>
        </w:rPr>
        <w:t>%</w:t>
      </w:r>
      <w:r w:rsidRPr="0008586D">
        <w:rPr>
          <w:rFonts w:ascii="Arial" w:eastAsia="Times New Roman" w:hAnsi="Arial" w:cs="Arial"/>
          <w:color w:val="000000"/>
          <w:sz w:val="20"/>
          <w:szCs w:val="20"/>
          <w:u w:val="single"/>
          <w:lang w:val="es-ES" w:eastAsia="es-MX"/>
        </w:rPr>
        <w:t> del total presupuestado.</w:t>
      </w:r>
    </w:p>
    <w:p w14:paraId="7C4CE7E2" w14:textId="77777777" w:rsidR="007D1E76" w:rsidRPr="00E74967" w:rsidRDefault="007D1E76" w:rsidP="0017525F">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9" w:name="_Toc84235534"/>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6BD68A3C" w14:textId="77777777" w:rsidR="002E71E7" w:rsidRPr="007345EF" w:rsidRDefault="002E71E7" w:rsidP="002E71E7">
      <w:pPr>
        <w:tabs>
          <w:tab w:val="left" w:leader="underscore" w:pos="9639"/>
        </w:tabs>
        <w:spacing w:after="0" w:line="240" w:lineRule="auto"/>
        <w:jc w:val="both"/>
        <w:rPr>
          <w:rFonts w:ascii="Arial" w:eastAsia="Times New Roman" w:hAnsi="Arial" w:cs="Arial"/>
          <w:color w:val="212121"/>
          <w:sz w:val="20"/>
          <w:szCs w:val="20"/>
          <w:u w:val="single"/>
          <w:shd w:val="clear" w:color="auto" w:fill="FFFFFF"/>
          <w:lang w:eastAsia="es-MX"/>
        </w:rPr>
      </w:pPr>
      <w:r w:rsidRPr="007345EF">
        <w:rPr>
          <w:rFonts w:ascii="Arial" w:eastAsia="Times New Roman" w:hAnsi="Arial" w:cs="Arial"/>
          <w:color w:val="212121"/>
          <w:sz w:val="20"/>
          <w:szCs w:val="20"/>
          <w:u w:val="single"/>
          <w:shd w:val="clear" w:color="auto" w:fill="FFFFFF"/>
          <w:lang w:eastAsia="es-MX"/>
        </w:rPr>
        <w:t>NO SE CUENTA CON DEUDA PUBLICA</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0" w:name="_Toc84235535"/>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3988A38A" w14:textId="77777777" w:rsidR="002E71E7" w:rsidRPr="007345EF" w:rsidRDefault="002E71E7" w:rsidP="002E71E7">
      <w:pPr>
        <w:tabs>
          <w:tab w:val="left" w:leader="underscore" w:pos="9639"/>
        </w:tabs>
        <w:spacing w:after="0" w:line="240" w:lineRule="auto"/>
        <w:jc w:val="both"/>
        <w:rPr>
          <w:rFonts w:ascii="Arial" w:eastAsia="Times New Roman" w:hAnsi="Arial" w:cs="Arial"/>
          <w:color w:val="212121"/>
          <w:sz w:val="20"/>
          <w:szCs w:val="20"/>
          <w:u w:val="single"/>
          <w:shd w:val="clear" w:color="auto" w:fill="FFFFFF"/>
          <w:lang w:eastAsia="es-MX"/>
        </w:rPr>
      </w:pPr>
      <w:r w:rsidRPr="007345EF">
        <w:rPr>
          <w:rFonts w:ascii="Arial" w:eastAsia="Times New Roman" w:hAnsi="Arial" w:cs="Arial"/>
          <w:color w:val="212121"/>
          <w:sz w:val="20"/>
          <w:szCs w:val="20"/>
          <w:u w:val="single"/>
          <w:shd w:val="clear" w:color="auto" w:fill="FFFFFF"/>
          <w:lang w:eastAsia="es-MX"/>
        </w:rPr>
        <w:t>“Esta nota no le aplica al ente público” no realizamos movimientos que los afecten.</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1" w:name="_Toc84235536"/>
      <w:r w:rsidRPr="000C3365">
        <w:rPr>
          <w:rFonts w:asciiTheme="minorHAnsi" w:hAnsiTheme="minorHAnsi" w:cstheme="minorHAnsi"/>
          <w:b/>
          <w:color w:val="auto"/>
          <w:sz w:val="22"/>
        </w:rPr>
        <w:lastRenderedPageBreak/>
        <w:t>13.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3DB7590" w14:textId="6E794A5E" w:rsidR="002E71E7" w:rsidRPr="008B7666" w:rsidRDefault="002E71E7" w:rsidP="002E71E7">
      <w:pPr>
        <w:jc w:val="both"/>
        <w:rPr>
          <w:rFonts w:ascii="Arial" w:eastAsia="Times New Roman" w:hAnsi="Arial" w:cs="Arial"/>
          <w:color w:val="212121"/>
          <w:sz w:val="20"/>
          <w:szCs w:val="20"/>
          <w:u w:val="single"/>
          <w:shd w:val="clear" w:color="auto" w:fill="FFFFFF"/>
          <w:lang w:eastAsia="es-MX"/>
        </w:rPr>
      </w:pPr>
      <w:r w:rsidRPr="008B7666">
        <w:rPr>
          <w:rFonts w:ascii="Arial" w:eastAsia="Times New Roman" w:hAnsi="Arial" w:cs="Arial"/>
          <w:color w:val="212121"/>
          <w:sz w:val="20"/>
          <w:szCs w:val="20"/>
          <w:u w:val="single"/>
          <w:shd w:val="clear" w:color="auto" w:fill="FFFFFF"/>
          <w:lang w:eastAsia="es-MX"/>
        </w:rPr>
        <w:t>Lineamientos de Austeridad, Racionalidad y Disciplina Presupuestal para el Ejercicio 202</w:t>
      </w:r>
      <w:r w:rsidR="008B7666" w:rsidRPr="008B7666">
        <w:rPr>
          <w:rFonts w:ascii="Arial" w:eastAsia="Times New Roman" w:hAnsi="Arial" w:cs="Arial"/>
          <w:color w:val="212121"/>
          <w:sz w:val="20"/>
          <w:szCs w:val="20"/>
          <w:u w:val="single"/>
          <w:shd w:val="clear" w:color="auto" w:fill="FFFFFF"/>
          <w:lang w:eastAsia="es-MX"/>
        </w:rPr>
        <w:t>1</w:t>
      </w:r>
      <w:r w:rsidRPr="008B7666">
        <w:rPr>
          <w:rFonts w:ascii="Arial" w:eastAsia="Times New Roman" w:hAnsi="Arial" w:cs="Arial"/>
          <w:color w:val="212121"/>
          <w:sz w:val="20"/>
          <w:szCs w:val="20"/>
          <w:u w:val="single"/>
          <w:shd w:val="clear" w:color="auto" w:fill="FFFFFF"/>
          <w:lang w:eastAsia="es-MX"/>
        </w:rPr>
        <w:t xml:space="preserve">, Reglamento Interior de Trabajo, Contrato Colectivo de Trabajo, Lineamientos Generales para el Trato a los empleados de Confianza, Política de Calidad. </w:t>
      </w: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C1F06D0" w14:textId="0E64B941" w:rsidR="00D74717" w:rsidRPr="002E7EB3" w:rsidRDefault="00D74717" w:rsidP="00D74717">
      <w:pPr>
        <w:tabs>
          <w:tab w:val="left" w:leader="underscore" w:pos="9639"/>
        </w:tabs>
        <w:spacing w:after="0" w:line="240" w:lineRule="auto"/>
        <w:jc w:val="both"/>
        <w:rPr>
          <w:rFonts w:cs="Calibri"/>
          <w:u w:val="single"/>
        </w:rPr>
      </w:pPr>
      <w:r w:rsidRPr="002E7EB3">
        <w:rPr>
          <w:rFonts w:cs="Calibri"/>
          <w:u w:val="single"/>
        </w:rPr>
        <w:t xml:space="preserve">Se realizan lo manifestado en el archivo </w:t>
      </w:r>
      <w:r w:rsidRPr="00DC0164">
        <w:rPr>
          <w:rFonts w:cs="Calibri"/>
          <w:u w:val="single"/>
        </w:rPr>
        <w:t>0333_I</w:t>
      </w:r>
      <w:r>
        <w:rPr>
          <w:rFonts w:cs="Calibri"/>
          <w:u w:val="single"/>
        </w:rPr>
        <w:t>N</w:t>
      </w:r>
      <w:r w:rsidRPr="00DC0164">
        <w:rPr>
          <w:rFonts w:cs="Calibri"/>
          <w:u w:val="single"/>
        </w:rPr>
        <w:t>R_MCYA_AWA</w:t>
      </w:r>
      <w:r>
        <w:rPr>
          <w:rFonts w:cs="Calibri"/>
          <w:u w:val="single"/>
        </w:rPr>
        <w:t>_210</w:t>
      </w:r>
      <w:r w:rsidR="0008586D">
        <w:rPr>
          <w:rFonts w:cs="Calibri"/>
          <w:u w:val="single"/>
        </w:rPr>
        <w:t>3</w:t>
      </w:r>
      <w:r w:rsidRPr="00DC0164">
        <w:rPr>
          <w:rFonts w:cs="Calibri"/>
          <w:u w:val="single"/>
        </w:rPr>
        <w:t>- Indicadores de Resultados</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2" w:name="_Toc84235537"/>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7889D31" w14:textId="77777777" w:rsidR="00D74717" w:rsidRDefault="00D74717" w:rsidP="002E71E7">
      <w:pPr>
        <w:tabs>
          <w:tab w:val="left" w:leader="underscore" w:pos="9639"/>
        </w:tabs>
        <w:spacing w:after="0" w:line="240" w:lineRule="auto"/>
        <w:jc w:val="both"/>
        <w:rPr>
          <w:rFonts w:asciiTheme="minorHAnsi" w:hAnsiTheme="minorHAnsi" w:cstheme="minorHAnsi"/>
          <w:sz w:val="24"/>
          <w:szCs w:val="24"/>
          <w:u w:val="single"/>
        </w:rPr>
      </w:pPr>
    </w:p>
    <w:p w14:paraId="5BBC0141" w14:textId="77777777" w:rsidR="008B7666" w:rsidRPr="007345EF" w:rsidRDefault="008B7666" w:rsidP="008B7666">
      <w:pPr>
        <w:tabs>
          <w:tab w:val="left" w:leader="underscore" w:pos="9639"/>
        </w:tabs>
        <w:spacing w:after="0" w:line="240" w:lineRule="auto"/>
        <w:jc w:val="both"/>
        <w:rPr>
          <w:rFonts w:ascii="Arial" w:eastAsia="Times New Roman" w:hAnsi="Arial" w:cs="Arial"/>
          <w:color w:val="212121"/>
          <w:sz w:val="20"/>
          <w:szCs w:val="20"/>
          <w:u w:val="single"/>
          <w:shd w:val="clear" w:color="auto" w:fill="FFFFFF"/>
          <w:lang w:eastAsia="es-MX"/>
        </w:rPr>
      </w:pPr>
      <w:r w:rsidRPr="007345EF">
        <w:rPr>
          <w:rFonts w:ascii="Arial" w:eastAsia="Times New Roman" w:hAnsi="Arial" w:cs="Arial"/>
          <w:color w:val="212121"/>
          <w:sz w:val="20"/>
          <w:szCs w:val="20"/>
          <w:u w:val="single"/>
          <w:shd w:val="clear" w:color="auto" w:fill="FFFFFF"/>
          <w:lang w:eastAsia="es-MX"/>
        </w:rPr>
        <w:t>“Esta nota no le aplica al ente público” no realizamos movimientos que los afecten.</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3" w:name="_Toc84235538"/>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19831C0A" w14:textId="77777777" w:rsidR="00D74717" w:rsidRDefault="007D1E76" w:rsidP="002E71E7">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6891199" w14:textId="77777777" w:rsidR="008B7666" w:rsidRPr="007345EF" w:rsidRDefault="008B7666" w:rsidP="008B7666">
      <w:pPr>
        <w:tabs>
          <w:tab w:val="left" w:leader="underscore" w:pos="9639"/>
        </w:tabs>
        <w:spacing w:after="0" w:line="240" w:lineRule="auto"/>
        <w:jc w:val="both"/>
        <w:rPr>
          <w:rFonts w:ascii="Arial" w:eastAsia="Times New Roman" w:hAnsi="Arial" w:cs="Arial"/>
          <w:color w:val="212121"/>
          <w:sz w:val="20"/>
          <w:szCs w:val="20"/>
          <w:u w:val="single"/>
          <w:shd w:val="clear" w:color="auto" w:fill="FFFFFF"/>
          <w:lang w:eastAsia="es-MX"/>
        </w:rPr>
      </w:pPr>
      <w:r w:rsidRPr="007345EF">
        <w:rPr>
          <w:rFonts w:ascii="Arial" w:eastAsia="Times New Roman" w:hAnsi="Arial" w:cs="Arial"/>
          <w:color w:val="212121"/>
          <w:sz w:val="20"/>
          <w:szCs w:val="20"/>
          <w:u w:val="single"/>
          <w:shd w:val="clear" w:color="auto" w:fill="FFFFFF"/>
          <w:lang w:eastAsia="es-MX"/>
        </w:rPr>
        <w:t>“Esta nota no le aplica al ente público” no realizamos movimientos que los afecten.</w:t>
      </w:r>
    </w:p>
    <w:p w14:paraId="1C1B13BA" w14:textId="59449627" w:rsidR="007D1E76" w:rsidRPr="00E74967" w:rsidRDefault="007D1E76" w:rsidP="00CB41C4">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4" w:name="_Toc84235539"/>
      <w:r w:rsidRPr="000C3365">
        <w:rPr>
          <w:rFonts w:asciiTheme="minorHAnsi" w:hAnsiTheme="minorHAnsi" w:cstheme="minorHAnsi"/>
          <w:b/>
          <w:color w:val="auto"/>
          <w:sz w:val="22"/>
        </w:rPr>
        <w:t>16.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9C1AB6A" w14:textId="77777777" w:rsidR="002E71E7" w:rsidRPr="008B7666" w:rsidRDefault="002E71E7" w:rsidP="002E71E7">
      <w:pPr>
        <w:tabs>
          <w:tab w:val="left" w:leader="underscore" w:pos="9639"/>
        </w:tabs>
        <w:spacing w:after="0" w:line="240" w:lineRule="auto"/>
        <w:jc w:val="both"/>
        <w:rPr>
          <w:rFonts w:cs="Calibri"/>
          <w:u w:val="single"/>
        </w:rPr>
      </w:pPr>
      <w:r w:rsidRPr="008B7666">
        <w:rPr>
          <w:rFonts w:cs="Calibri"/>
          <w:u w:val="single"/>
        </w:rPr>
        <w:t>“Esta nota no le aplica al ente público” no realizamos movimientos que los afecten.</w:t>
      </w:r>
    </w:p>
    <w:p w14:paraId="17CEED12" w14:textId="77777777" w:rsidR="007D1E76" w:rsidRPr="00E74967" w:rsidRDefault="007D1E76"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5" w:name="_Toc84235540"/>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6593DEA6" w:rsidR="007D1E76" w:rsidRDefault="001973A2" w:rsidP="00CB41C4">
      <w:pPr>
        <w:tabs>
          <w:tab w:val="left" w:leader="underscore" w:pos="9639"/>
        </w:tabs>
        <w:spacing w:after="0" w:line="240" w:lineRule="auto"/>
        <w:jc w:val="both"/>
        <w:rPr>
          <w:rFonts w:cs="Calibri"/>
        </w:rPr>
      </w:pPr>
      <w:r w:rsidRPr="001973A2">
        <w:rPr>
          <w:rFonts w:cs="Calibri"/>
        </w:rPr>
        <w:lastRenderedPageBreak/>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63750581" w:rsidR="00D5018E" w:rsidRDefault="00D5018E" w:rsidP="00CB41C4">
      <w:pPr>
        <w:tabs>
          <w:tab w:val="left" w:leader="underscore" w:pos="9639"/>
        </w:tabs>
        <w:spacing w:after="0" w:line="240" w:lineRule="auto"/>
        <w:jc w:val="both"/>
        <w:rPr>
          <w:rFonts w:cs="Calibri"/>
        </w:rPr>
      </w:pPr>
    </w:p>
    <w:p w14:paraId="1B61076C" w14:textId="1A5EF655" w:rsidR="008B7666" w:rsidRDefault="008B7666" w:rsidP="00CB41C4">
      <w:pPr>
        <w:tabs>
          <w:tab w:val="left" w:leader="underscore" w:pos="9639"/>
        </w:tabs>
        <w:spacing w:after="0" w:line="240" w:lineRule="auto"/>
        <w:jc w:val="both"/>
        <w:rPr>
          <w:rFonts w:cs="Calibri"/>
        </w:rPr>
      </w:pPr>
    </w:p>
    <w:p w14:paraId="2FE5895B" w14:textId="77777777" w:rsidR="00A872C6" w:rsidRPr="00A872C6" w:rsidRDefault="00A872C6" w:rsidP="00A872C6">
      <w:pPr>
        <w:spacing w:after="0" w:line="240" w:lineRule="auto"/>
        <w:jc w:val="both"/>
        <w:rPr>
          <w:rFonts w:ascii="Arial" w:eastAsia="Times New Roman" w:hAnsi="Arial" w:cs="Arial"/>
          <w:sz w:val="16"/>
          <w:szCs w:val="16"/>
          <w:lang w:eastAsia="es-MX"/>
        </w:rPr>
      </w:pPr>
      <w:r w:rsidRPr="00A872C6">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1B65CFF1" w14:textId="2BCBBDCF" w:rsidR="008B7666" w:rsidRPr="00E74967" w:rsidRDefault="008B7666" w:rsidP="00CB41C4">
      <w:pPr>
        <w:tabs>
          <w:tab w:val="left" w:leader="underscore" w:pos="9639"/>
        </w:tabs>
        <w:spacing w:after="0" w:line="240" w:lineRule="auto"/>
        <w:jc w:val="both"/>
        <w:rPr>
          <w:rFonts w:cs="Calibri"/>
        </w:rPr>
      </w:pPr>
      <w:bookmarkStart w:id="16" w:name="_GoBack"/>
      <w:bookmarkEnd w:id="16"/>
    </w:p>
    <w:sectPr w:rsidR="008B7666" w:rsidRPr="00E74967" w:rsidSect="0012405A">
      <w:headerReference w:type="default" r:id="rId15"/>
      <w:footerReference w:type="default" r:id="rId16"/>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70BDA" w14:textId="77777777" w:rsidR="008B689A" w:rsidRDefault="008B689A" w:rsidP="00E00323">
      <w:pPr>
        <w:spacing w:after="0" w:line="240" w:lineRule="auto"/>
      </w:pPr>
      <w:r>
        <w:separator/>
      </w:r>
    </w:p>
  </w:endnote>
  <w:endnote w:type="continuationSeparator" w:id="0">
    <w:p w14:paraId="4C28B223" w14:textId="77777777" w:rsidR="008B689A" w:rsidRDefault="008B689A"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2FB07C68" w:rsidR="0012405A" w:rsidRDefault="0012405A">
        <w:pPr>
          <w:pStyle w:val="Piedepgina"/>
          <w:jc w:val="right"/>
        </w:pPr>
        <w:r>
          <w:fldChar w:fldCharType="begin"/>
        </w:r>
        <w:r>
          <w:instrText>PAGE   \* MERGEFORMAT</w:instrText>
        </w:r>
        <w:r>
          <w:fldChar w:fldCharType="separate"/>
        </w:r>
        <w:r w:rsidR="00A872C6" w:rsidRPr="00A872C6">
          <w:rPr>
            <w:noProof/>
            <w:lang w:val="es-ES"/>
          </w:rPr>
          <w:t>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46280" w14:textId="77777777" w:rsidR="008B689A" w:rsidRDefault="008B689A" w:rsidP="00E00323">
      <w:pPr>
        <w:spacing w:after="0" w:line="240" w:lineRule="auto"/>
      </w:pPr>
      <w:r>
        <w:separator/>
      </w:r>
    </w:p>
  </w:footnote>
  <w:footnote w:type="continuationSeparator" w:id="0">
    <w:p w14:paraId="5126D77A" w14:textId="77777777" w:rsidR="008B689A" w:rsidRDefault="008B689A"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7426660E" w:rsidR="00154BA3" w:rsidRDefault="008B7666" w:rsidP="00A4610E">
    <w:pPr>
      <w:pStyle w:val="Encabezado"/>
      <w:spacing w:after="0" w:line="240" w:lineRule="auto"/>
      <w:jc w:val="center"/>
    </w:pPr>
    <w:r>
      <w:rPr>
        <w:noProof/>
        <w:lang w:eastAsia="es-MX"/>
      </w:rPr>
      <w:drawing>
        <wp:inline distT="0" distB="0" distL="0" distR="0" wp14:anchorId="689F8DE1" wp14:editId="75844F24">
          <wp:extent cx="303291" cy="299663"/>
          <wp:effectExtent l="0" t="0" r="1905" b="5715"/>
          <wp:docPr id="3" name="Picture 3">
            <a:extLst xmlns:a="http://schemas.openxmlformats.org/drawingml/2006/main">
              <a:ext uri="{FF2B5EF4-FFF2-40B4-BE49-F238E27FC236}">
                <a16:creationId xmlns:a16="http://schemas.microsoft.com/office/drawing/2014/main" id="{E6FCAEF1-F762-420F-8D43-6C2B01157B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a:extLst>
                      <a:ext uri="{FF2B5EF4-FFF2-40B4-BE49-F238E27FC236}">
                        <a16:creationId xmlns:a16="http://schemas.microsoft.com/office/drawing/2014/main" id="{E6FCAEF1-F762-420F-8D43-6C2B01157B9F}"/>
                      </a:ext>
                    </a:extLst>
                  </pic:cNvPr>
                  <pic:cNvPicPr>
                    <a:picLocks noChangeAspect="1" noChangeArrowheads="1"/>
                  </pic:cNvPicPr>
                </pic:nvPicPr>
                <pic:blipFill>
                  <a:blip r:embed="rId1" cstate="print"/>
                  <a:srcRect/>
                  <a:stretch>
                    <a:fillRect/>
                  </a:stretch>
                </pic:blipFill>
                <pic:spPr bwMode="auto">
                  <a:xfrm>
                    <a:off x="0" y="0"/>
                    <a:ext cx="324048" cy="320172"/>
                  </a:xfrm>
                  <a:prstGeom prst="rect">
                    <a:avLst/>
                  </a:prstGeom>
                  <a:noFill/>
                  <a:ln w="9525">
                    <a:noFill/>
                    <a:miter lim="800000"/>
                    <a:headEnd/>
                    <a:tailEnd/>
                  </a:ln>
                </pic:spPr>
              </pic:pic>
            </a:graphicData>
          </a:graphic>
        </wp:inline>
      </w:drawing>
    </w:r>
    <w:r>
      <w:t xml:space="preserve">   </w:t>
    </w:r>
    <w:r w:rsidR="00F673BA">
      <w:t>Junta Municipal de Agua Potable y Alcantarillado de Celaya, Gto.</w:t>
    </w:r>
  </w:p>
  <w:p w14:paraId="651A4C4F" w14:textId="4BD4AE4C" w:rsidR="00A4610E" w:rsidRDefault="00A4610E" w:rsidP="00B20E59">
    <w:pPr>
      <w:pStyle w:val="Encabezado"/>
      <w:spacing w:after="0" w:line="240" w:lineRule="auto"/>
      <w:jc w:val="center"/>
    </w:pPr>
    <w:r w:rsidRPr="00A4610E">
      <w:t>C</w:t>
    </w:r>
    <w:r w:rsidR="00F46A6F">
      <w:t>orrespondientes</w:t>
    </w:r>
    <w:r w:rsidRPr="00A4610E">
      <w:t xml:space="preserve"> </w:t>
    </w:r>
    <w:r w:rsidR="00F46A6F">
      <w:t>al</w:t>
    </w:r>
    <w:r w:rsidRPr="00A4610E">
      <w:t xml:space="preserve"> </w:t>
    </w:r>
    <w:r w:rsidR="00F673BA">
      <w:t>3</w:t>
    </w:r>
    <w:r w:rsidR="005D6A85">
      <w:t>0</w:t>
    </w:r>
    <w:r w:rsidR="00F673BA">
      <w:t xml:space="preserve"> de </w:t>
    </w:r>
    <w:r w:rsidR="00B20E59">
      <w:t>septiembre</w:t>
    </w:r>
    <w:r w:rsidR="00F673BA">
      <w:t xml:space="preserve"> del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64BB3"/>
    <w:multiLevelType w:val="hybridMultilevel"/>
    <w:tmpl w:val="99CEE10C"/>
    <w:lvl w:ilvl="0" w:tplc="0CA2E278">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28FA3ADB"/>
    <w:multiLevelType w:val="hybridMultilevel"/>
    <w:tmpl w:val="790428D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56664E"/>
    <w:multiLevelType w:val="hybridMultilevel"/>
    <w:tmpl w:val="EB36F5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3F4E47"/>
    <w:multiLevelType w:val="hybridMultilevel"/>
    <w:tmpl w:val="2B5A7610"/>
    <w:lvl w:ilvl="0" w:tplc="51989680">
      <w:start w:val="1"/>
      <w:numFmt w:val="lowerLetter"/>
      <w:lvlText w:val="%1)"/>
      <w:lvlJc w:val="left"/>
      <w:pPr>
        <w:ind w:left="720" w:hanging="360"/>
      </w:pPr>
      <w:rPr>
        <w:rFonts w:ascii="Arial" w:hAnsi="Arial" w:cs="Arial"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B4446C0"/>
    <w:multiLevelType w:val="hybridMultilevel"/>
    <w:tmpl w:val="B628AE9E"/>
    <w:lvl w:ilvl="0" w:tplc="A8380FAE">
      <w:start w:val="1"/>
      <w:numFmt w:val="lowerLetter"/>
      <w:lvlText w:val="%1)"/>
      <w:lvlJc w:val="left"/>
      <w:pPr>
        <w:ind w:left="720" w:hanging="360"/>
      </w:pPr>
      <w:rPr>
        <w:rFonts w:ascii="Arial" w:hAnsi="Arial" w:cs="Arial"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84EAE"/>
    <w:rsid w:val="0008586D"/>
    <w:rsid w:val="00091CE6"/>
    <w:rsid w:val="000B7810"/>
    <w:rsid w:val="000C3365"/>
    <w:rsid w:val="0012405A"/>
    <w:rsid w:val="00154BA3"/>
    <w:rsid w:val="0017525F"/>
    <w:rsid w:val="001973A2"/>
    <w:rsid w:val="001C75F2"/>
    <w:rsid w:val="001D2063"/>
    <w:rsid w:val="001D43E9"/>
    <w:rsid w:val="00232175"/>
    <w:rsid w:val="002558CF"/>
    <w:rsid w:val="002E71E7"/>
    <w:rsid w:val="003453CA"/>
    <w:rsid w:val="00435A87"/>
    <w:rsid w:val="00490569"/>
    <w:rsid w:val="004A5298"/>
    <w:rsid w:val="004A58C8"/>
    <w:rsid w:val="004F234D"/>
    <w:rsid w:val="00540A12"/>
    <w:rsid w:val="0054701E"/>
    <w:rsid w:val="005B032F"/>
    <w:rsid w:val="005B5531"/>
    <w:rsid w:val="005D3E43"/>
    <w:rsid w:val="005D6A85"/>
    <w:rsid w:val="005E231E"/>
    <w:rsid w:val="00657009"/>
    <w:rsid w:val="00681C79"/>
    <w:rsid w:val="007345EF"/>
    <w:rsid w:val="0074332C"/>
    <w:rsid w:val="007610BC"/>
    <w:rsid w:val="007714AB"/>
    <w:rsid w:val="007D1E76"/>
    <w:rsid w:val="007D4484"/>
    <w:rsid w:val="008412A5"/>
    <w:rsid w:val="0086459F"/>
    <w:rsid w:val="00886E46"/>
    <w:rsid w:val="008B689A"/>
    <w:rsid w:val="008B7666"/>
    <w:rsid w:val="008C3BB8"/>
    <w:rsid w:val="008E076C"/>
    <w:rsid w:val="0092765C"/>
    <w:rsid w:val="009C4DF5"/>
    <w:rsid w:val="00A4610E"/>
    <w:rsid w:val="00A730E0"/>
    <w:rsid w:val="00A872C6"/>
    <w:rsid w:val="00AA41E5"/>
    <w:rsid w:val="00AA5A50"/>
    <w:rsid w:val="00AB53F1"/>
    <w:rsid w:val="00AB722B"/>
    <w:rsid w:val="00AE1F6A"/>
    <w:rsid w:val="00B20E59"/>
    <w:rsid w:val="00BE4763"/>
    <w:rsid w:val="00C97E1E"/>
    <w:rsid w:val="00CB41C4"/>
    <w:rsid w:val="00CF1316"/>
    <w:rsid w:val="00D13C44"/>
    <w:rsid w:val="00D20C2B"/>
    <w:rsid w:val="00D40FC2"/>
    <w:rsid w:val="00D5018E"/>
    <w:rsid w:val="00D74717"/>
    <w:rsid w:val="00D975B1"/>
    <w:rsid w:val="00DB4D78"/>
    <w:rsid w:val="00DE39AD"/>
    <w:rsid w:val="00E00323"/>
    <w:rsid w:val="00E74967"/>
    <w:rsid w:val="00E7559F"/>
    <w:rsid w:val="00EA37F5"/>
    <w:rsid w:val="00EA7915"/>
    <w:rsid w:val="00F46719"/>
    <w:rsid w:val="00F46A6F"/>
    <w:rsid w:val="00F54F6F"/>
    <w:rsid w:val="00F6102D"/>
    <w:rsid w:val="00F65A92"/>
    <w:rsid w:val="00F673BA"/>
    <w:rsid w:val="00F73B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Mencinsinresolver1">
    <w:name w:val="Mención sin resolver1"/>
    <w:basedOn w:val="Fuentedeprrafopredeter"/>
    <w:uiPriority w:val="99"/>
    <w:semiHidden/>
    <w:unhideWhenUsed/>
    <w:rsid w:val="00F46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276541">
      <w:bodyDiv w:val="1"/>
      <w:marLeft w:val="0"/>
      <w:marRight w:val="0"/>
      <w:marTop w:val="0"/>
      <w:marBottom w:val="0"/>
      <w:divBdr>
        <w:top w:val="none" w:sz="0" w:space="0" w:color="auto"/>
        <w:left w:val="none" w:sz="0" w:space="0" w:color="auto"/>
        <w:bottom w:val="none" w:sz="0" w:space="0" w:color="auto"/>
        <w:right w:val="none" w:sz="0" w:space="0" w:color="auto"/>
      </w:divBdr>
      <w:divsChild>
        <w:div w:id="946085089">
          <w:marLeft w:val="0"/>
          <w:marRight w:val="0"/>
          <w:marTop w:val="0"/>
          <w:marBottom w:val="0"/>
          <w:divBdr>
            <w:top w:val="none" w:sz="0" w:space="0" w:color="auto"/>
            <w:left w:val="none" w:sz="0" w:space="0" w:color="auto"/>
            <w:bottom w:val="none" w:sz="0" w:space="0" w:color="auto"/>
            <w:right w:val="none" w:sz="0" w:space="0" w:color="auto"/>
          </w:divBdr>
        </w:div>
        <w:div w:id="2102947552">
          <w:marLeft w:val="0"/>
          <w:marRight w:val="0"/>
          <w:marTop w:val="0"/>
          <w:marBottom w:val="0"/>
          <w:divBdr>
            <w:top w:val="none" w:sz="0" w:space="0" w:color="auto"/>
            <w:left w:val="none" w:sz="0" w:space="0" w:color="auto"/>
            <w:bottom w:val="none" w:sz="0" w:space="0" w:color="auto"/>
            <w:right w:val="none" w:sz="0" w:space="0" w:color="auto"/>
          </w:divBdr>
        </w:div>
        <w:div w:id="872351919">
          <w:marLeft w:val="0"/>
          <w:marRight w:val="0"/>
          <w:marTop w:val="0"/>
          <w:marBottom w:val="0"/>
          <w:divBdr>
            <w:top w:val="none" w:sz="0" w:space="0" w:color="auto"/>
            <w:left w:val="none" w:sz="0" w:space="0" w:color="auto"/>
            <w:bottom w:val="none" w:sz="0" w:space="0" w:color="auto"/>
            <w:right w:val="none" w:sz="0" w:space="0" w:color="auto"/>
          </w:divBdr>
        </w:div>
        <w:div w:id="648218635">
          <w:marLeft w:val="0"/>
          <w:marRight w:val="0"/>
          <w:marTop w:val="0"/>
          <w:marBottom w:val="0"/>
          <w:divBdr>
            <w:top w:val="none" w:sz="0" w:space="0" w:color="auto"/>
            <w:left w:val="none" w:sz="0" w:space="0" w:color="auto"/>
            <w:bottom w:val="none" w:sz="0" w:space="0" w:color="auto"/>
            <w:right w:val="none" w:sz="0" w:space="0" w:color="auto"/>
          </w:divBdr>
        </w:div>
        <w:div w:id="447969539">
          <w:marLeft w:val="0"/>
          <w:marRight w:val="0"/>
          <w:marTop w:val="0"/>
          <w:marBottom w:val="0"/>
          <w:divBdr>
            <w:top w:val="none" w:sz="0" w:space="0" w:color="auto"/>
            <w:left w:val="none" w:sz="0" w:space="0" w:color="auto"/>
            <w:bottom w:val="none" w:sz="0" w:space="0" w:color="auto"/>
            <w:right w:val="none" w:sz="0" w:space="0" w:color="auto"/>
          </w:divBdr>
        </w:div>
      </w:divsChild>
    </w:div>
    <w:div w:id="840002708">
      <w:bodyDiv w:val="1"/>
      <w:marLeft w:val="0"/>
      <w:marRight w:val="0"/>
      <w:marTop w:val="0"/>
      <w:marBottom w:val="0"/>
      <w:divBdr>
        <w:top w:val="none" w:sz="0" w:space="0" w:color="auto"/>
        <w:left w:val="none" w:sz="0" w:space="0" w:color="auto"/>
        <w:bottom w:val="none" w:sz="0" w:space="0" w:color="auto"/>
        <w:right w:val="none" w:sz="0" w:space="0" w:color="auto"/>
      </w:divBdr>
    </w:div>
    <w:div w:id="1054505494">
      <w:bodyDiv w:val="1"/>
      <w:marLeft w:val="0"/>
      <w:marRight w:val="0"/>
      <w:marTop w:val="0"/>
      <w:marBottom w:val="0"/>
      <w:divBdr>
        <w:top w:val="none" w:sz="0" w:space="0" w:color="auto"/>
        <w:left w:val="none" w:sz="0" w:space="0" w:color="auto"/>
        <w:bottom w:val="none" w:sz="0" w:space="0" w:color="auto"/>
        <w:right w:val="none" w:sz="0" w:space="0" w:color="auto"/>
      </w:divBdr>
    </w:div>
    <w:div w:id="1177767965">
      <w:bodyDiv w:val="1"/>
      <w:marLeft w:val="0"/>
      <w:marRight w:val="0"/>
      <w:marTop w:val="0"/>
      <w:marBottom w:val="0"/>
      <w:divBdr>
        <w:top w:val="none" w:sz="0" w:space="0" w:color="auto"/>
        <w:left w:val="none" w:sz="0" w:space="0" w:color="auto"/>
        <w:bottom w:val="none" w:sz="0" w:space="0" w:color="auto"/>
        <w:right w:val="none" w:sz="0" w:space="0" w:color="auto"/>
      </w:divBdr>
    </w:div>
    <w:div w:id="1282497819">
      <w:bodyDiv w:val="1"/>
      <w:marLeft w:val="0"/>
      <w:marRight w:val="0"/>
      <w:marTop w:val="0"/>
      <w:marBottom w:val="0"/>
      <w:divBdr>
        <w:top w:val="none" w:sz="0" w:space="0" w:color="auto"/>
        <w:left w:val="none" w:sz="0" w:space="0" w:color="auto"/>
        <w:bottom w:val="none" w:sz="0" w:space="0" w:color="auto"/>
        <w:right w:val="none" w:sz="0" w:space="0" w:color="auto"/>
      </w:divBdr>
      <w:divsChild>
        <w:div w:id="241068745">
          <w:marLeft w:val="0"/>
          <w:marRight w:val="0"/>
          <w:marTop w:val="0"/>
          <w:marBottom w:val="0"/>
          <w:divBdr>
            <w:top w:val="none" w:sz="0" w:space="0" w:color="auto"/>
            <w:left w:val="none" w:sz="0" w:space="0" w:color="auto"/>
            <w:bottom w:val="none" w:sz="0" w:space="0" w:color="auto"/>
            <w:right w:val="none" w:sz="0" w:space="0" w:color="auto"/>
          </w:divBdr>
          <w:divsChild>
            <w:div w:id="3675245">
              <w:marLeft w:val="0"/>
              <w:marRight w:val="0"/>
              <w:marTop w:val="0"/>
              <w:marBottom w:val="0"/>
              <w:divBdr>
                <w:top w:val="none" w:sz="0" w:space="0" w:color="auto"/>
                <w:left w:val="none" w:sz="0" w:space="0" w:color="auto"/>
                <w:bottom w:val="none" w:sz="0" w:space="0" w:color="auto"/>
                <w:right w:val="none" w:sz="0" w:space="0" w:color="auto"/>
              </w:divBdr>
            </w:div>
            <w:div w:id="651253463">
              <w:marLeft w:val="0"/>
              <w:marRight w:val="0"/>
              <w:marTop w:val="0"/>
              <w:marBottom w:val="0"/>
              <w:divBdr>
                <w:top w:val="none" w:sz="0" w:space="0" w:color="auto"/>
                <w:left w:val="none" w:sz="0" w:space="0" w:color="auto"/>
                <w:bottom w:val="none" w:sz="0" w:space="0" w:color="auto"/>
                <w:right w:val="none" w:sz="0" w:space="0" w:color="auto"/>
              </w:divBdr>
            </w:div>
            <w:div w:id="313485866">
              <w:marLeft w:val="0"/>
              <w:marRight w:val="0"/>
              <w:marTop w:val="0"/>
              <w:marBottom w:val="0"/>
              <w:divBdr>
                <w:top w:val="none" w:sz="0" w:space="0" w:color="auto"/>
                <w:left w:val="none" w:sz="0" w:space="0" w:color="auto"/>
                <w:bottom w:val="none" w:sz="0" w:space="0" w:color="auto"/>
                <w:right w:val="none" w:sz="0" w:space="0" w:color="auto"/>
              </w:divBdr>
            </w:div>
            <w:div w:id="71976967">
              <w:marLeft w:val="0"/>
              <w:marRight w:val="0"/>
              <w:marTop w:val="0"/>
              <w:marBottom w:val="0"/>
              <w:divBdr>
                <w:top w:val="none" w:sz="0" w:space="0" w:color="auto"/>
                <w:left w:val="none" w:sz="0" w:space="0" w:color="auto"/>
                <w:bottom w:val="none" w:sz="0" w:space="0" w:color="auto"/>
                <w:right w:val="none" w:sz="0" w:space="0" w:color="auto"/>
              </w:divBdr>
            </w:div>
            <w:div w:id="13511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0909">
      <w:bodyDiv w:val="1"/>
      <w:marLeft w:val="0"/>
      <w:marRight w:val="0"/>
      <w:marTop w:val="0"/>
      <w:marBottom w:val="0"/>
      <w:divBdr>
        <w:top w:val="none" w:sz="0" w:space="0" w:color="auto"/>
        <w:left w:val="none" w:sz="0" w:space="0" w:color="auto"/>
        <w:bottom w:val="none" w:sz="0" w:space="0" w:color="auto"/>
        <w:right w:val="none" w:sz="0" w:space="0" w:color="auto"/>
      </w:divBdr>
    </w:div>
    <w:div w:id="2046558783">
      <w:bodyDiv w:val="1"/>
      <w:marLeft w:val="0"/>
      <w:marRight w:val="0"/>
      <w:marTop w:val="0"/>
      <w:marBottom w:val="0"/>
      <w:divBdr>
        <w:top w:val="none" w:sz="0" w:space="0" w:color="auto"/>
        <w:left w:val="none" w:sz="0" w:space="0" w:color="auto"/>
        <w:bottom w:val="none" w:sz="0" w:space="0" w:color="auto"/>
        <w:right w:val="none" w:sz="0" w:space="0" w:color="auto"/>
      </w:divBdr>
    </w:div>
    <w:div w:id="208930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nanzaspublicas.hacienda.gob.mx/work/models/Finanzas_Publicas/docs/paquete_economico/precgpe/precgpe_202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DD94F47-934A-46EC-A228-C8BC4AAD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4059</Words>
  <Characters>22328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26335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Luis-Torres</cp:lastModifiedBy>
  <cp:revision>2</cp:revision>
  <cp:lastPrinted>2021-10-04T15:28:00Z</cp:lastPrinted>
  <dcterms:created xsi:type="dcterms:W3CDTF">2021-11-25T20:42:00Z</dcterms:created>
  <dcterms:modified xsi:type="dcterms:W3CDTF">2021-11-25T20:42:00Z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